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7BD96">
      <w:pPr>
        <w:rPr>
          <w:rFonts w:asciiTheme="majorEastAsia" w:hAnsiTheme="majorEastAsia" w:eastAsiaTheme="majorEastAsia"/>
          <w:bCs/>
          <w:sz w:val="24"/>
          <w:szCs w:val="24"/>
        </w:rPr>
      </w:pPr>
      <w:r>
        <w:rPr>
          <w:rFonts w:hint="eastAsia" w:asciiTheme="majorEastAsia" w:hAnsiTheme="majorEastAsia" w:eastAsiaTheme="majorEastAsia"/>
          <w:bCs/>
          <w:sz w:val="24"/>
          <w:szCs w:val="24"/>
        </w:rPr>
        <w:t>证券代码：</w:t>
      </w:r>
      <w:sdt>
        <w:sdtPr>
          <w:rPr>
            <w:rFonts w:hint="eastAsia" w:asciiTheme="majorEastAsia" w:hAnsiTheme="majorEastAsia" w:eastAsiaTheme="majorEastAsia"/>
            <w:bCs/>
            <w:sz w:val="24"/>
            <w:szCs w:val="24"/>
          </w:rPr>
          <w:alias w:val="公司代码"/>
          <w:tag w:val="_GBC_62ef04c8e14e4c76b304f7775b7d8722"/>
          <w:id w:val="147451086"/>
          <w:lock w:val="sdtLocked"/>
          <w:placeholder>
            <w:docPart w:val="GBC22222222222222222222222222222"/>
          </w:placeholder>
        </w:sdtPr>
        <w:sdtEndPr>
          <w:rPr>
            <w:rFonts w:hint="eastAsia" w:asciiTheme="majorEastAsia" w:hAnsiTheme="majorEastAsia" w:eastAsiaTheme="majorEastAsia"/>
            <w:bCs/>
            <w:sz w:val="24"/>
            <w:szCs w:val="24"/>
          </w:rPr>
        </w:sdtEndPr>
        <w:sdtContent>
          <w:r>
            <w:rPr>
              <w:rFonts w:hint="eastAsia" w:asciiTheme="majorEastAsia" w:hAnsiTheme="majorEastAsia" w:eastAsiaTheme="majorEastAsia"/>
              <w:bCs/>
              <w:sz w:val="24"/>
              <w:szCs w:val="24"/>
            </w:rPr>
            <w:t>603191</w:t>
          </w:r>
        </w:sdtContent>
      </w:sdt>
      <w:r>
        <w:rPr>
          <w:rFonts w:hint="eastAsia" w:asciiTheme="majorEastAsia" w:hAnsiTheme="majorEastAsia" w:eastAsiaTheme="majorEastAsia"/>
          <w:bCs/>
          <w:sz w:val="24"/>
          <w:szCs w:val="24"/>
        </w:rPr>
        <w:t xml:space="preserve">   </w:t>
      </w:r>
      <w:r>
        <w:rPr>
          <w:rFonts w:asciiTheme="majorEastAsia" w:hAnsiTheme="majorEastAsia" w:eastAsiaTheme="majorEastAsia"/>
          <w:bCs/>
          <w:sz w:val="24"/>
          <w:szCs w:val="24"/>
        </w:rPr>
        <w:t xml:space="preserve"> </w:t>
      </w:r>
      <w:r>
        <w:rPr>
          <w:rFonts w:hint="eastAsia" w:asciiTheme="majorEastAsia" w:hAnsiTheme="majorEastAsia" w:eastAsiaTheme="majorEastAsia"/>
          <w:bCs/>
          <w:sz w:val="24"/>
          <w:szCs w:val="24"/>
        </w:rPr>
        <w:t xml:space="preserve">  证券简称：</w:t>
      </w:r>
      <w:sdt>
        <w:sdtPr>
          <w:rPr>
            <w:rFonts w:hint="eastAsia" w:asciiTheme="majorEastAsia" w:hAnsiTheme="majorEastAsia" w:eastAsiaTheme="majorEastAsia"/>
            <w:bCs/>
            <w:sz w:val="24"/>
            <w:szCs w:val="24"/>
          </w:rPr>
          <w:alias w:val="公司简称"/>
          <w:tag w:val="_GBC_81c31f6c68a741c1acb30ff1595bc381"/>
          <w:id w:val="147453390"/>
          <w:lock w:val="sdtLocked"/>
          <w:placeholder>
            <w:docPart w:val="GBC22222222222222222222222222222"/>
          </w:placeholder>
        </w:sdtPr>
        <w:sdtEndPr>
          <w:rPr>
            <w:rFonts w:hint="eastAsia" w:asciiTheme="majorEastAsia" w:hAnsiTheme="majorEastAsia" w:eastAsiaTheme="majorEastAsia"/>
            <w:bCs/>
            <w:sz w:val="24"/>
            <w:szCs w:val="24"/>
          </w:rPr>
        </w:sdtEndPr>
        <w:sdtContent>
          <w:r>
            <w:rPr>
              <w:rFonts w:hint="eastAsia" w:asciiTheme="majorEastAsia" w:hAnsiTheme="majorEastAsia" w:eastAsiaTheme="majorEastAsia"/>
              <w:bCs/>
              <w:sz w:val="24"/>
              <w:szCs w:val="24"/>
            </w:rPr>
            <w:t>望变电气</w:t>
          </w:r>
        </w:sdtContent>
      </w:sdt>
      <w:r>
        <w:rPr>
          <w:rFonts w:hint="eastAsia" w:asciiTheme="majorEastAsia" w:hAnsiTheme="majorEastAsia" w:eastAsiaTheme="majorEastAsia"/>
          <w:bCs/>
          <w:sz w:val="24"/>
          <w:szCs w:val="24"/>
        </w:rPr>
        <w:t xml:space="preserve">     </w:t>
      </w:r>
      <w:r>
        <w:rPr>
          <w:rFonts w:asciiTheme="majorEastAsia" w:hAnsiTheme="majorEastAsia" w:eastAsiaTheme="majorEastAsia"/>
          <w:bCs/>
          <w:sz w:val="24"/>
          <w:szCs w:val="24"/>
        </w:rPr>
        <w:t xml:space="preserve">  </w:t>
      </w:r>
      <w:r>
        <w:rPr>
          <w:rFonts w:hint="eastAsia" w:asciiTheme="majorEastAsia" w:hAnsiTheme="majorEastAsia" w:eastAsiaTheme="majorEastAsia"/>
          <w:bCs/>
          <w:sz w:val="24"/>
          <w:szCs w:val="24"/>
        </w:rPr>
        <w:t>公告编号：</w:t>
      </w:r>
      <w:sdt>
        <w:sdtPr>
          <w:rPr>
            <w:rFonts w:hint="eastAsia" w:asciiTheme="majorEastAsia" w:hAnsiTheme="majorEastAsia" w:eastAsiaTheme="majorEastAsia"/>
            <w:bCs/>
            <w:sz w:val="24"/>
            <w:szCs w:val="24"/>
          </w:rPr>
          <w:alias w:val="临时公告编号"/>
          <w:tag w:val="_GBC_51438e46cb944a2bb6b9cb5e9d53d512"/>
          <w:id w:val="147479539"/>
          <w:lock w:val="sdtLocked"/>
          <w:placeholder>
            <w:docPart w:val="GBC22222222222222222222222222222"/>
          </w:placeholder>
        </w:sdtPr>
        <w:sdtEndPr>
          <w:rPr>
            <w:rFonts w:hint="eastAsia" w:asciiTheme="majorEastAsia" w:hAnsiTheme="majorEastAsia" w:eastAsiaTheme="majorEastAsia"/>
            <w:bCs/>
            <w:sz w:val="24"/>
            <w:szCs w:val="24"/>
          </w:rPr>
        </w:sdtEndPr>
        <w:sdtContent>
          <w:r>
            <w:rPr>
              <w:rFonts w:hint="eastAsia" w:asciiTheme="majorEastAsia" w:hAnsiTheme="majorEastAsia" w:eastAsiaTheme="majorEastAsia"/>
              <w:bCs/>
              <w:sz w:val="24"/>
              <w:szCs w:val="24"/>
            </w:rPr>
            <w:t>2025-03</w:t>
          </w:r>
          <w:r>
            <w:rPr>
              <w:rFonts w:hint="eastAsia" w:asciiTheme="majorEastAsia" w:hAnsiTheme="majorEastAsia" w:eastAsiaTheme="majorEastAsia"/>
              <w:bCs/>
              <w:sz w:val="24"/>
              <w:szCs w:val="24"/>
              <w:lang w:val="en-US" w:eastAsia="zh-CN"/>
            </w:rPr>
            <w:t>7</w:t>
          </w:r>
        </w:sdtContent>
      </w:sdt>
    </w:p>
    <w:p w14:paraId="3D8479A0">
      <w:pPr>
        <w:jc w:val="right"/>
        <w:rPr>
          <w:rFonts w:asciiTheme="majorEastAsia" w:hAnsiTheme="majorEastAsia" w:eastAsiaTheme="majorEastAsia"/>
          <w:b/>
          <w:sz w:val="24"/>
          <w:szCs w:val="24"/>
        </w:rPr>
      </w:pPr>
    </w:p>
    <w:p w14:paraId="4FD993FC">
      <w:pPr>
        <w:adjustRightInd w:val="0"/>
        <w:snapToGrid w:val="0"/>
        <w:spacing w:line="560" w:lineRule="exact"/>
        <w:jc w:val="center"/>
        <w:rPr>
          <w:rFonts w:ascii="仿宋_GB2312" w:eastAsia="仿宋_GB2312"/>
          <w:sz w:val="30"/>
          <w:szCs w:val="30"/>
        </w:rPr>
      </w:pPr>
    </w:p>
    <w:p w14:paraId="766ADC19">
      <w:pPr>
        <w:adjustRightInd w:val="0"/>
        <w:snapToGrid w:val="0"/>
        <w:spacing w:line="560" w:lineRule="exact"/>
        <w:jc w:val="center"/>
        <w:rPr>
          <w:rFonts w:ascii="黑体" w:hAnsi="黑体" w:eastAsia="黑体" w:cs="黑体"/>
          <w:color w:val="FF0000"/>
          <w:sz w:val="36"/>
          <w:szCs w:val="36"/>
        </w:rPr>
      </w:pPr>
      <w:r>
        <w:rPr>
          <w:rFonts w:hint="eastAsia" w:ascii="黑体" w:hAnsi="黑体" w:eastAsia="黑体" w:cs="黑体"/>
          <w:color w:val="FF0000"/>
          <w:sz w:val="36"/>
          <w:szCs w:val="36"/>
        </w:rPr>
        <w:t>重庆望变电气（集团）股份有限公司</w:t>
      </w:r>
    </w:p>
    <w:p w14:paraId="603516A3">
      <w:pPr>
        <w:adjustRightInd w:val="0"/>
        <w:snapToGrid w:val="0"/>
        <w:spacing w:line="560" w:lineRule="exact"/>
        <w:jc w:val="center"/>
        <w:rPr>
          <w:rFonts w:ascii="黑体" w:hAnsi="黑体" w:eastAsia="黑体" w:cs="黑体"/>
          <w:color w:val="FF0000"/>
          <w:sz w:val="36"/>
          <w:szCs w:val="36"/>
        </w:rPr>
      </w:pPr>
      <w:r>
        <w:rPr>
          <w:rFonts w:hint="eastAsia" w:ascii="黑体" w:hAnsi="黑体" w:eastAsia="黑体" w:cs="黑体"/>
          <w:color w:val="FF0000"/>
          <w:sz w:val="36"/>
          <w:szCs w:val="36"/>
        </w:rPr>
        <w:t>关于控股股东、实际控制人及其一致行动人</w:t>
      </w:r>
    </w:p>
    <w:p w14:paraId="29F24BF2">
      <w:pPr>
        <w:adjustRightInd w:val="0"/>
        <w:snapToGrid w:val="0"/>
        <w:spacing w:line="560" w:lineRule="exact"/>
        <w:jc w:val="center"/>
        <w:rPr>
          <w:rFonts w:ascii="黑体" w:hAnsi="黑体" w:eastAsia="黑体" w:cs="黑体"/>
          <w:color w:val="FF0000"/>
          <w:sz w:val="36"/>
          <w:szCs w:val="36"/>
        </w:rPr>
      </w:pPr>
      <w:r>
        <w:rPr>
          <w:rFonts w:hint="eastAsia" w:ascii="黑体" w:hAnsi="黑体" w:eastAsia="黑体" w:cs="黑体"/>
          <w:color w:val="FF0000"/>
          <w:sz w:val="36"/>
          <w:szCs w:val="36"/>
        </w:rPr>
        <w:t>权益变动触及1%刻度的提示性公告</w:t>
      </w:r>
    </w:p>
    <w:p w14:paraId="01BB17D3">
      <w:pPr>
        <w:adjustRightInd w:val="0"/>
        <w:snapToGrid w:val="0"/>
        <w:spacing w:line="560" w:lineRule="exact"/>
        <w:jc w:val="center"/>
        <w:rPr>
          <w:rFonts w:ascii="仿宋_GB2312" w:eastAsia="仿宋_GB2312"/>
          <w:sz w:val="30"/>
          <w:szCs w:val="30"/>
        </w:rPr>
      </w:pPr>
    </w:p>
    <w:p w14:paraId="74E3BB77">
      <w:pPr>
        <w:adjustRightInd w:val="0"/>
        <w:snapToGrid w:val="0"/>
        <w:spacing w:line="560" w:lineRule="exact"/>
        <w:rPr>
          <w:rFonts w:ascii="仿宋" w:hAnsi="仿宋" w:eastAsia="仿宋"/>
          <w:sz w:val="32"/>
          <w:szCs w:val="32"/>
        </w:rPr>
      </w:pPr>
      <w:r>
        <w:rPr>
          <w:rFonts w:hint="eastAsia"/>
        </w:rPr>
        <mc:AlternateContent>
          <mc:Choice Requires="wps">
            <w:drawing>
              <wp:anchor distT="0" distB="0" distL="114300" distR="114300" simplePos="0" relativeHeight="251659264" behindDoc="0" locked="0" layoutInCell="1" allowOverlap="1">
                <wp:simplePos x="0" y="0"/>
                <wp:positionH relativeFrom="margin">
                  <wp:posOffset>-310515</wp:posOffset>
                </wp:positionH>
                <wp:positionV relativeFrom="paragraph">
                  <wp:posOffset>31750</wp:posOffset>
                </wp:positionV>
                <wp:extent cx="5915025" cy="1145540"/>
                <wp:effectExtent l="4445" t="4445" r="5080" b="1206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5915025" cy="1310640"/>
                        </a:xfrm>
                        <a:prstGeom prst="rect">
                          <a:avLst/>
                        </a:prstGeom>
                        <a:solidFill>
                          <a:srgbClr val="FFFFFF"/>
                        </a:solidFill>
                        <a:ln w="9525">
                          <a:solidFill>
                            <a:srgbClr val="000000"/>
                          </a:solidFill>
                          <a:miter lim="800000"/>
                        </a:ln>
                        <a:effectLst/>
                      </wps:spPr>
                      <wps:txbx>
                        <w:txbxContent>
                          <w:p w14:paraId="4560DBA7">
                            <w:pPr>
                              <w:snapToGrid w:val="0"/>
                              <w:spacing w:line="480" w:lineRule="exact"/>
                              <w:ind w:firstLine="54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控股股东、实际控制人及其一致行动人杨厚群女士、秦勇女士及杨小林先生保证向本公司提供的信息真实、准确、完整，没有虚假记载、误导性陈述或重大遗漏。 </w:t>
                            </w:r>
                          </w:p>
                          <w:p w14:paraId="6B566551">
                            <w:pPr>
                              <w:snapToGrid w:val="0"/>
                              <w:spacing w:line="480" w:lineRule="exact"/>
                              <w:ind w:firstLine="540"/>
                              <w:rPr>
                                <w:rFonts w:ascii="仿宋_GB2312" w:hAnsi="仿宋_GB2312" w:eastAsia="仿宋_GB2312" w:cs="仿宋_GB2312"/>
                                <w:sz w:val="28"/>
                                <w:szCs w:val="28"/>
                              </w:rPr>
                            </w:pPr>
                            <w:r>
                              <w:rPr>
                                <w:rFonts w:hint="eastAsia" w:ascii="仿宋_GB2312" w:hAnsi="仿宋_GB2312" w:eastAsia="仿宋_GB2312" w:cs="仿宋_GB2312"/>
                                <w:sz w:val="24"/>
                                <w:szCs w:val="24"/>
                              </w:rPr>
                              <w:t>本公司董事会及全体董事保证公告内容与信息披露义务人提供的信息</w:t>
                            </w:r>
                            <w:r>
                              <w:rPr>
                                <w:rFonts w:hint="eastAsia" w:ascii="仿宋_GB2312" w:hAnsi="仿宋_GB2312" w:eastAsia="仿宋_GB2312" w:cs="仿宋_GB2312"/>
                                <w:sz w:val="28"/>
                                <w:szCs w:val="28"/>
                              </w:rPr>
                              <w:t>一致。</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45pt;margin-top:2.5pt;height:90.2pt;width:465.75pt;mso-position-horizontal-relative:margin;z-index:251659264;mso-width-relative:page;mso-height-relative:page;" fillcolor="#FFFFFF" filled="t" stroked="t" coordsize="21600,21600" o:gfxdata="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lFDnVtcAAAAJAQAADwAAAAAAAAABACAAAAAiAAAAZHJzL2Rv&#10;d25yZXYueG1sUEsBAhQAFAAAAAgAh07iQNcZcD47AgAAiQQAAA4AAAAAAAAAAQAgAAAAJgEAAGRy&#10;cy9lMm9Eb2MueG1sUEsFBgAAAAAGAAYAWQEAANMFAAAAAA==&#10;">
                <v:fill on="t" focussize="0,0"/>
                <v:stroke color="#000000" miterlimit="8" joinstyle="miter"/>
                <v:imagedata o:title=""/>
                <o:lock v:ext="edit" aspectratio="f"/>
                <v:textbox>
                  <w:txbxContent>
                    <w:p w14:paraId="4560DBA7">
                      <w:pPr>
                        <w:snapToGrid w:val="0"/>
                        <w:spacing w:line="480" w:lineRule="exact"/>
                        <w:ind w:firstLine="54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控股股东、实际控制人及其一致行动人杨厚群女士、秦勇女士及杨小林先生保证向本公司提供的信息真实、准确、完整，没有虚假记载、误导性陈述或重大遗漏。 </w:t>
                      </w:r>
                    </w:p>
                    <w:p w14:paraId="6B566551">
                      <w:pPr>
                        <w:snapToGrid w:val="0"/>
                        <w:spacing w:line="480" w:lineRule="exact"/>
                        <w:ind w:firstLine="540"/>
                        <w:rPr>
                          <w:rFonts w:ascii="仿宋_GB2312" w:hAnsi="仿宋_GB2312" w:eastAsia="仿宋_GB2312" w:cs="仿宋_GB2312"/>
                          <w:sz w:val="28"/>
                          <w:szCs w:val="28"/>
                        </w:rPr>
                      </w:pPr>
                      <w:r>
                        <w:rPr>
                          <w:rFonts w:hint="eastAsia" w:ascii="仿宋_GB2312" w:hAnsi="仿宋_GB2312" w:eastAsia="仿宋_GB2312" w:cs="仿宋_GB2312"/>
                          <w:sz w:val="24"/>
                          <w:szCs w:val="24"/>
                        </w:rPr>
                        <w:t>本公司董事会及全体董事保证公告内容与信息披露义务人提供的信息</w:t>
                      </w:r>
                      <w:r>
                        <w:rPr>
                          <w:rFonts w:hint="eastAsia" w:ascii="仿宋_GB2312" w:hAnsi="仿宋_GB2312" w:eastAsia="仿宋_GB2312" w:cs="仿宋_GB2312"/>
                          <w:sz w:val="28"/>
                          <w:szCs w:val="28"/>
                        </w:rPr>
                        <w:t>一致。</w:t>
                      </w:r>
                    </w:p>
                  </w:txbxContent>
                </v:textbox>
              </v:rect>
            </w:pict>
          </mc:Fallback>
        </mc:AlternateContent>
      </w:r>
    </w:p>
    <w:p w14:paraId="5F6D517F">
      <w:pPr>
        <w:widowControl/>
        <w:spacing w:line="540" w:lineRule="exact"/>
        <w:rPr>
          <w:rFonts w:ascii="仿宋" w:hAnsi="仿宋" w:eastAsia="仿宋"/>
          <w:b/>
          <w:bCs/>
          <w:kern w:val="0"/>
          <w:sz w:val="32"/>
          <w:szCs w:val="32"/>
        </w:rPr>
      </w:pPr>
    </w:p>
    <w:p w14:paraId="60166CE9">
      <w:pPr>
        <w:widowControl/>
        <w:spacing w:line="540" w:lineRule="exact"/>
        <w:ind w:firstLine="6880" w:firstLineChars="2150"/>
        <w:jc w:val="right"/>
        <w:rPr>
          <w:rFonts w:ascii="仿宋" w:hAnsi="仿宋" w:eastAsia="仿宋"/>
          <w:kern w:val="0"/>
          <w:sz w:val="32"/>
          <w:szCs w:val="32"/>
        </w:rPr>
      </w:pPr>
    </w:p>
    <w:p w14:paraId="236EF89A">
      <w:pPr>
        <w:widowControl/>
        <w:spacing w:line="540" w:lineRule="exact"/>
        <w:ind w:firstLine="6880" w:firstLineChars="2150"/>
        <w:jc w:val="right"/>
        <w:rPr>
          <w:rFonts w:ascii="仿宋" w:hAnsi="仿宋" w:eastAsia="仿宋"/>
          <w:kern w:val="0"/>
          <w:sz w:val="32"/>
          <w:szCs w:val="32"/>
        </w:rPr>
      </w:pPr>
    </w:p>
    <w:p w14:paraId="1623F1B7">
      <w:pPr>
        <w:widowControl/>
        <w:adjustRightInd w:val="0"/>
        <w:snapToGrid w:val="0"/>
        <w:spacing w:line="560" w:lineRule="exact"/>
        <w:ind w:firstLine="600"/>
        <w:jc w:val="right"/>
        <w:rPr>
          <w:rFonts w:ascii="仿宋_GB2312" w:hAnsi="仿宋_GB2312" w:eastAsia="仿宋_GB2312" w:cs="仿宋_GB2312"/>
          <w:sz w:val="30"/>
          <w:szCs w:val="30"/>
        </w:rPr>
      </w:pPr>
    </w:p>
    <w:p w14:paraId="463F8BF2">
      <w:pPr>
        <w:widowControl/>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重要内容提示：</w:t>
      </w:r>
    </w:p>
    <w:tbl>
      <w:tblPr>
        <w:tblStyle w:val="10"/>
        <w:tblW w:w="4998"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355"/>
        <w:gridCol w:w="5164"/>
      </w:tblGrid>
      <w:tr w14:paraId="447325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6C373DDD">
            <w:pPr>
              <w:widowControl/>
              <w:adjustRightInd w:val="0"/>
              <w:snapToGrid w:val="0"/>
              <w:jc w:val="lef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权益变动方向</w:t>
            </w:r>
          </w:p>
        </w:tc>
        <w:tc>
          <w:tcPr>
            <w:tcW w:w="3030" w:type="pct"/>
            <w:vAlign w:val="center"/>
          </w:tcPr>
          <w:p w14:paraId="61D9D909">
            <w:pPr>
              <w:widowControl/>
              <w:adjustRightInd w:val="0"/>
              <w:snapToGrid w:val="0"/>
              <w:jc w:val="left"/>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rPr>
              <w:t>比例增加□  比例减少☑</w:t>
            </w:r>
          </w:p>
        </w:tc>
      </w:tr>
      <w:tr w14:paraId="1C0F1F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3B47B0AD">
            <w:pPr>
              <w:widowControl/>
              <w:adjustRightInd w:val="0"/>
              <w:snapToGrid w:val="0"/>
              <w:jc w:val="lef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权益变动前合计比例</w:t>
            </w:r>
          </w:p>
        </w:tc>
        <w:tc>
          <w:tcPr>
            <w:tcW w:w="3030" w:type="pct"/>
            <w:vAlign w:val="center"/>
          </w:tcPr>
          <w:p w14:paraId="4387D684">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sz w:val="24"/>
                <w:szCs w:val="24"/>
              </w:rPr>
              <w:t>4</w:t>
            </w:r>
            <w:r>
              <w:rPr>
                <w:rFonts w:hint="eastAsia" w:asciiTheme="minorEastAsia" w:hAnsiTheme="minorEastAsia" w:cstheme="minorEastAsia"/>
                <w:sz w:val="24"/>
                <w:szCs w:val="24"/>
                <w:lang w:val="en-US" w:eastAsia="zh-CN"/>
              </w:rPr>
              <w:t>2</w:t>
            </w:r>
            <w:r>
              <w:rPr>
                <w:rFonts w:hint="eastAsia" w:asciiTheme="minorEastAsia" w:hAnsiTheme="minorEastAsia" w:cstheme="minorEastAsia"/>
                <w:sz w:val="24"/>
                <w:szCs w:val="24"/>
              </w:rPr>
              <w:t>.5</w:t>
            </w: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w:t>
            </w:r>
          </w:p>
        </w:tc>
      </w:tr>
      <w:tr w14:paraId="45C29F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55" w:type="dxa"/>
            <w:vAlign w:val="center"/>
          </w:tcPr>
          <w:p w14:paraId="05D55DE5">
            <w:pPr>
              <w:widowControl/>
              <w:adjustRightInd w:val="0"/>
              <w:snapToGrid w:val="0"/>
              <w:jc w:val="lef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权益变动后合计比例</w:t>
            </w:r>
          </w:p>
        </w:tc>
        <w:tc>
          <w:tcPr>
            <w:tcW w:w="5164" w:type="dxa"/>
            <w:vAlign w:val="center"/>
          </w:tcPr>
          <w:p w14:paraId="5823695F">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sz w:val="24"/>
                <w:szCs w:val="24"/>
              </w:rPr>
              <w:t>4</w:t>
            </w:r>
            <w:r>
              <w:rPr>
                <w:rFonts w:hint="eastAsia" w:asciiTheme="minorEastAsia" w:hAnsiTheme="minorEastAsia" w:cstheme="minorEastAsia"/>
                <w:sz w:val="24"/>
                <w:szCs w:val="24"/>
                <w:lang w:val="en-US" w:eastAsia="zh-CN"/>
              </w:rPr>
              <w:t>1</w:t>
            </w:r>
            <w:r>
              <w:rPr>
                <w:rFonts w:hint="eastAsia" w:asciiTheme="minorEastAsia" w:hAnsiTheme="minorEastAsia" w:cstheme="minorEastAsia"/>
                <w:sz w:val="24"/>
                <w:szCs w:val="24"/>
              </w:rPr>
              <w:t>.5</w:t>
            </w:r>
            <w:r>
              <w:rPr>
                <w:rFonts w:hint="eastAsia" w:asciiTheme="minorEastAsia" w:hAnsiTheme="minorEastAsia" w:cstheme="minorEastAsia"/>
                <w:sz w:val="24"/>
                <w:szCs w:val="24"/>
                <w:lang w:val="en-US" w:eastAsia="zh-CN"/>
              </w:rPr>
              <w:t>7</w:t>
            </w:r>
            <w:r>
              <w:rPr>
                <w:rFonts w:hint="eastAsia" w:asciiTheme="minorEastAsia" w:hAnsiTheme="minorEastAsia" w:cstheme="minorEastAsia"/>
                <w:sz w:val="24"/>
                <w:szCs w:val="24"/>
              </w:rPr>
              <w:t>%</w:t>
            </w:r>
          </w:p>
        </w:tc>
      </w:tr>
      <w:tr w14:paraId="43A300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5C7C553D">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color w:val="000000"/>
                <w:sz w:val="24"/>
                <w:szCs w:val="24"/>
              </w:rPr>
              <w:t>本次变动是否违反已作出的承诺、意向、计划</w:t>
            </w:r>
          </w:p>
        </w:tc>
        <w:tc>
          <w:tcPr>
            <w:tcW w:w="3030" w:type="pct"/>
            <w:vAlign w:val="center"/>
          </w:tcPr>
          <w:p w14:paraId="3893876E">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color w:val="000000"/>
                <w:sz w:val="24"/>
                <w:szCs w:val="24"/>
              </w:rPr>
              <w:t>是□  否☑</w:t>
            </w:r>
          </w:p>
        </w:tc>
      </w:tr>
      <w:tr w14:paraId="02015E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01CB331C">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color w:val="000000"/>
                <w:kern w:val="0"/>
                <w:sz w:val="24"/>
                <w:szCs w:val="24"/>
              </w:rPr>
              <w:t>是否触发强制要约收购义务</w:t>
            </w:r>
          </w:p>
        </w:tc>
        <w:tc>
          <w:tcPr>
            <w:tcW w:w="3030" w:type="pct"/>
            <w:vAlign w:val="center"/>
          </w:tcPr>
          <w:p w14:paraId="7796B97F">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color w:val="000000"/>
                <w:sz w:val="24"/>
                <w:szCs w:val="24"/>
              </w:rPr>
              <w:t>是□  否☑</w:t>
            </w:r>
          </w:p>
        </w:tc>
      </w:tr>
    </w:tbl>
    <w:p w14:paraId="25E1BC1F">
      <w:pPr>
        <w:widowControl/>
        <w:adjustRightInd w:val="0"/>
        <w:snapToGrid w:val="0"/>
        <w:spacing w:line="560" w:lineRule="exact"/>
        <w:ind w:firstLine="600"/>
        <w:jc w:val="left"/>
        <w:rPr>
          <w:rFonts w:ascii="宋体" w:hAnsi="宋体" w:eastAsia="宋体" w:cs="宋体"/>
          <w:kern w:val="0"/>
          <w:sz w:val="24"/>
          <w:szCs w:val="24"/>
        </w:rPr>
      </w:pPr>
    </w:p>
    <w:p w14:paraId="1A1521DA">
      <w:pPr>
        <w:widowControl/>
        <w:numPr>
          <w:ilvl w:val="0"/>
          <w:numId w:val="1"/>
        </w:numPr>
        <w:adjustRightInd w:val="0"/>
        <w:snapToGrid w:val="0"/>
        <w:spacing w:line="560" w:lineRule="exact"/>
        <w:ind w:left="0" w:firstLine="482" w:firstLineChars="200"/>
        <w:jc w:val="left"/>
        <w:outlineLvl w:val="0"/>
        <w:rPr>
          <w:rFonts w:ascii="宋体" w:hAnsi="宋体" w:eastAsia="宋体" w:cs="宋体"/>
          <w:b/>
          <w:bCs/>
          <w:sz w:val="24"/>
          <w:szCs w:val="24"/>
        </w:rPr>
      </w:pPr>
      <w:r>
        <w:rPr>
          <w:rFonts w:hint="eastAsia" w:ascii="宋体" w:hAnsi="宋体" w:eastAsia="宋体" w:cs="宋体"/>
          <w:b/>
          <w:bCs/>
          <w:sz w:val="24"/>
          <w:szCs w:val="24"/>
        </w:rPr>
        <w:t>信息披露义务人及其一致行动人的基本信息</w:t>
      </w:r>
    </w:p>
    <w:p w14:paraId="58FDCE9E">
      <w:pPr>
        <w:widowControl/>
        <w:adjustRightInd w:val="0"/>
        <w:snapToGrid w:val="0"/>
        <w:spacing w:line="5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1.身份类别</w:t>
      </w:r>
    </w:p>
    <w:tbl>
      <w:tblPr>
        <w:tblStyle w:val="10"/>
        <w:tblW w:w="4998"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355"/>
        <w:gridCol w:w="5164"/>
      </w:tblGrid>
      <w:tr w14:paraId="6BD5EB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514D770E">
            <w:pPr>
              <w:widowControl/>
              <w:adjustRightInd w:val="0"/>
              <w:snapToGrid w:val="0"/>
              <w:jc w:val="left"/>
              <w:rPr>
                <w:rFonts w:ascii="宋体" w:hAnsi="宋体" w:eastAsia="宋体" w:cs="宋体"/>
                <w:sz w:val="24"/>
                <w:szCs w:val="24"/>
              </w:rPr>
            </w:pPr>
            <w:r>
              <w:rPr>
                <w:rFonts w:hint="eastAsia" w:ascii="宋体" w:hAnsi="宋体" w:eastAsia="宋体" w:cs="宋体"/>
                <w:color w:val="000000"/>
                <w:kern w:val="0"/>
                <w:sz w:val="24"/>
                <w:szCs w:val="24"/>
              </w:rPr>
              <w:t>投资者及其一致行动人的身份</w:t>
            </w:r>
          </w:p>
        </w:tc>
        <w:tc>
          <w:tcPr>
            <w:tcW w:w="3030" w:type="pct"/>
            <w:vAlign w:val="center"/>
          </w:tcPr>
          <w:p w14:paraId="63A231E1">
            <w:pPr>
              <w:adjustRightInd w:val="0"/>
              <w:snapToGrid w:val="0"/>
              <w:jc w:val="left"/>
              <w:rPr>
                <w:rFonts w:ascii="宋体" w:hAnsi="宋体" w:eastAsia="宋体" w:cs="宋体"/>
                <w:color w:val="000000"/>
                <w:sz w:val="24"/>
                <w:szCs w:val="24"/>
              </w:rPr>
            </w:pPr>
            <w:r>
              <w:rPr>
                <w:rFonts w:hint="eastAsia" w:ascii="宋体" w:hAnsi="宋体" w:eastAsia="宋体" w:cs="宋体"/>
                <w:color w:val="000000"/>
                <w:sz w:val="24"/>
                <w:szCs w:val="24"/>
              </w:rPr>
              <w:t>☑控股股东/实际控制人及其一致行动人</w:t>
            </w:r>
          </w:p>
          <w:p w14:paraId="04042E64">
            <w:pPr>
              <w:adjustRightInd w:val="0"/>
              <w:snapToGrid w:val="0"/>
              <w:jc w:val="left"/>
              <w:rPr>
                <w:rFonts w:ascii="宋体" w:hAnsi="宋体" w:eastAsia="宋体" w:cs="宋体"/>
                <w:color w:val="000000"/>
                <w:sz w:val="24"/>
                <w:szCs w:val="24"/>
              </w:rPr>
            </w:pPr>
            <w:r>
              <w:rPr>
                <w:rFonts w:hint="eastAsia" w:ascii="宋体" w:hAnsi="宋体" w:eastAsia="宋体" w:cs="宋体"/>
                <w:color w:val="000000"/>
                <w:sz w:val="24"/>
                <w:szCs w:val="24"/>
              </w:rPr>
              <w:t>□其他5%以上大股东及其一致行动人</w:t>
            </w:r>
          </w:p>
          <w:p w14:paraId="2310E2C9">
            <w:pPr>
              <w:adjustRightInd w:val="0"/>
              <w:snapToGrid w:val="0"/>
              <w:jc w:val="left"/>
              <w:rPr>
                <w:rFonts w:ascii="宋体" w:hAnsi="宋体" w:eastAsia="宋体" w:cs="宋体"/>
                <w:sz w:val="24"/>
                <w:szCs w:val="24"/>
              </w:rPr>
            </w:pPr>
            <w:r>
              <w:rPr>
                <w:rFonts w:hint="eastAsia" w:ascii="宋体" w:hAnsi="宋体" w:eastAsia="宋体" w:cs="宋体"/>
                <w:color w:val="000000"/>
                <w:sz w:val="24"/>
                <w:szCs w:val="24"/>
              </w:rPr>
              <w:t>□合并口径第一大股东及其一致行动人（仅适用于无控股股东、实际控制人）</w:t>
            </w:r>
          </w:p>
          <w:p w14:paraId="3F04D69A">
            <w:pPr>
              <w:widowControl/>
              <w:adjustRightInd w:val="0"/>
              <w:snapToGrid w:val="0"/>
              <w:jc w:val="left"/>
              <w:rPr>
                <w:rFonts w:ascii="宋体" w:hAnsi="宋体" w:eastAsia="宋体" w:cs="宋体"/>
                <w:sz w:val="24"/>
                <w:szCs w:val="24"/>
              </w:rPr>
            </w:pPr>
            <w:r>
              <w:rPr>
                <w:rFonts w:hint="eastAsia" w:ascii="宋体" w:hAnsi="宋体" w:eastAsia="宋体" w:cs="宋体"/>
                <w:color w:val="000000"/>
                <w:sz w:val="24"/>
                <w:szCs w:val="24"/>
              </w:rPr>
              <w:t>□其他</w:t>
            </w:r>
            <w:r>
              <w:rPr>
                <w:rFonts w:hint="eastAsia" w:ascii="宋体" w:hAnsi="宋体" w:eastAsia="宋体" w:cs="宋体"/>
                <w:sz w:val="24"/>
                <w:szCs w:val="24"/>
              </w:rPr>
              <w:t>______________</w:t>
            </w:r>
            <w:r>
              <w:rPr>
                <w:rFonts w:hint="eastAsia" w:ascii="宋体" w:hAnsi="宋体" w:eastAsia="宋体" w:cs="宋体"/>
                <w:color w:val="000000"/>
                <w:sz w:val="24"/>
                <w:szCs w:val="24"/>
              </w:rPr>
              <w:t>（请注明）</w:t>
            </w:r>
          </w:p>
        </w:tc>
      </w:tr>
    </w:tbl>
    <w:p w14:paraId="0736D003">
      <w:pPr>
        <w:widowControl/>
        <w:adjustRightInd w:val="0"/>
        <w:snapToGrid w:val="0"/>
        <w:spacing w:line="560" w:lineRule="exact"/>
        <w:jc w:val="left"/>
        <w:rPr>
          <w:rFonts w:ascii="宋体" w:hAnsi="宋体" w:eastAsia="宋体" w:cs="宋体"/>
          <w:color w:val="000000"/>
          <w:kern w:val="0"/>
          <w:sz w:val="24"/>
          <w:szCs w:val="24"/>
        </w:rPr>
      </w:pPr>
    </w:p>
    <w:p w14:paraId="5ADAE8FA">
      <w:pPr>
        <w:widowControl/>
        <w:adjustRightInd w:val="0"/>
        <w:snapToGrid w:val="0"/>
        <w:spacing w:line="560" w:lineRule="exact"/>
        <w:jc w:val="left"/>
        <w:rPr>
          <w:rFonts w:ascii="宋体" w:hAnsi="宋体" w:eastAsia="宋体" w:cs="宋体"/>
          <w:color w:val="000000"/>
          <w:kern w:val="0"/>
          <w:sz w:val="24"/>
          <w:szCs w:val="24"/>
        </w:rPr>
      </w:pPr>
    </w:p>
    <w:p w14:paraId="49669277">
      <w:pPr>
        <w:widowControl/>
        <w:adjustRightInd w:val="0"/>
        <w:snapToGrid w:val="0"/>
        <w:spacing w:line="560" w:lineRule="exact"/>
        <w:jc w:val="left"/>
        <w:rPr>
          <w:rFonts w:ascii="宋体" w:hAnsi="宋体" w:eastAsia="宋体" w:cs="宋体"/>
          <w:color w:val="000000"/>
          <w:kern w:val="0"/>
          <w:sz w:val="24"/>
          <w:szCs w:val="24"/>
        </w:rPr>
      </w:pPr>
    </w:p>
    <w:p w14:paraId="51BD515C">
      <w:pPr>
        <w:widowControl/>
        <w:adjustRightInd w:val="0"/>
        <w:snapToGrid w:val="0"/>
        <w:spacing w:line="560" w:lineRule="exact"/>
        <w:ind w:firstLine="480" w:firstLineChars="200"/>
        <w:jc w:val="left"/>
        <w:rPr>
          <w:rFonts w:ascii="宋体" w:hAnsi="宋体" w:eastAsia="宋体" w:cs="宋体"/>
          <w:color w:val="000000"/>
          <w:kern w:val="0"/>
          <w:sz w:val="24"/>
          <w:szCs w:val="24"/>
        </w:rPr>
      </w:pPr>
      <w:r>
        <w:rPr>
          <w:rFonts w:hint="eastAsia" w:ascii="宋体" w:hAnsi="宋体" w:eastAsia="宋体" w:cs="宋体"/>
          <w:sz w:val="24"/>
          <w:szCs w:val="24"/>
        </w:rPr>
        <w:t>2.信息披露义务人信息</w:t>
      </w:r>
    </w:p>
    <w:tbl>
      <w:tblPr>
        <w:tblStyle w:val="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9"/>
        <w:gridCol w:w="3105"/>
        <w:gridCol w:w="2963"/>
      </w:tblGrid>
      <w:tr w14:paraId="495F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9" w:hRule="atLeast"/>
        </w:trPr>
        <w:tc>
          <w:tcPr>
            <w:tcW w:w="1437" w:type="pct"/>
            <w:tcBorders>
              <w:top w:val="single" w:color="auto" w:sz="4" w:space="0"/>
              <w:left w:val="single" w:color="auto" w:sz="4" w:space="0"/>
              <w:bottom w:val="single" w:color="auto" w:sz="4" w:space="0"/>
              <w:right w:val="single" w:color="auto" w:sz="4" w:space="0"/>
            </w:tcBorders>
            <w:vAlign w:val="center"/>
          </w:tcPr>
          <w:p w14:paraId="0C3FFB62">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kern w:val="0"/>
                <w:sz w:val="24"/>
                <w:szCs w:val="24"/>
              </w:rPr>
              <w:t>信息披露义务人名称</w:t>
            </w:r>
          </w:p>
        </w:tc>
        <w:tc>
          <w:tcPr>
            <w:tcW w:w="1822" w:type="pct"/>
            <w:tcBorders>
              <w:top w:val="single" w:color="auto" w:sz="4" w:space="0"/>
              <w:left w:val="single" w:color="auto" w:sz="4" w:space="0"/>
              <w:bottom w:val="single" w:color="auto" w:sz="4" w:space="0"/>
              <w:right w:val="single" w:color="auto" w:sz="4" w:space="0"/>
            </w:tcBorders>
            <w:vAlign w:val="center"/>
          </w:tcPr>
          <w:p w14:paraId="4E0C6ABC">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sz w:val="24"/>
                <w:szCs w:val="24"/>
              </w:rPr>
              <w:t>投资者身份</w:t>
            </w:r>
          </w:p>
        </w:tc>
        <w:tc>
          <w:tcPr>
            <w:tcW w:w="1739" w:type="pct"/>
            <w:tcBorders>
              <w:top w:val="single" w:color="auto" w:sz="4" w:space="0"/>
              <w:left w:val="single" w:color="auto" w:sz="4" w:space="0"/>
              <w:bottom w:val="single" w:color="auto" w:sz="4" w:space="0"/>
              <w:right w:val="single" w:color="auto" w:sz="4" w:space="0"/>
            </w:tcBorders>
            <w:vAlign w:val="center"/>
          </w:tcPr>
          <w:p w14:paraId="44F887CD">
            <w:pPr>
              <w:rPr>
                <w:rFonts w:ascii="宋体" w:hAnsi="宋体" w:eastAsia="宋体" w:cs="宋体"/>
                <w:bCs/>
                <w:color w:val="000000"/>
                <w:sz w:val="24"/>
                <w:szCs w:val="24"/>
              </w:rPr>
            </w:pPr>
            <w:r>
              <w:rPr>
                <w:rFonts w:hint="eastAsia" w:ascii="宋体" w:hAnsi="宋体" w:eastAsia="宋体" w:cs="宋体"/>
                <w:bCs/>
                <w:color w:val="000000"/>
                <w:sz w:val="24"/>
                <w:szCs w:val="24"/>
              </w:rPr>
              <w:t>统一社会信用代码</w:t>
            </w:r>
          </w:p>
        </w:tc>
      </w:tr>
      <w:tr w14:paraId="0C3E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3FE74EF2">
            <w:pPr>
              <w:rPr>
                <w:rFonts w:ascii="宋体" w:hAnsi="宋体" w:eastAsia="宋体" w:cs="宋体"/>
                <w:sz w:val="24"/>
                <w:szCs w:val="24"/>
              </w:rPr>
            </w:pPr>
            <w:r>
              <w:rPr>
                <w:rFonts w:hint="eastAsia" w:ascii="宋体" w:hAnsi="宋体" w:eastAsia="宋体" w:cs="宋体"/>
                <w:sz w:val="24"/>
                <w:szCs w:val="24"/>
              </w:rPr>
              <w:t>杨厚群</w:t>
            </w:r>
          </w:p>
        </w:tc>
        <w:tc>
          <w:tcPr>
            <w:tcW w:w="1822" w:type="pct"/>
            <w:tcBorders>
              <w:top w:val="single" w:color="auto" w:sz="4" w:space="0"/>
              <w:left w:val="single" w:color="auto" w:sz="4" w:space="0"/>
              <w:bottom w:val="single" w:color="auto" w:sz="4" w:space="0"/>
              <w:right w:val="single" w:color="auto" w:sz="4" w:space="0"/>
            </w:tcBorders>
            <w:vAlign w:val="center"/>
          </w:tcPr>
          <w:p w14:paraId="43A8748B">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5EFF6421">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642C87C4">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52A9F48A">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7B487164">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4AB9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663C34BD">
            <w:pPr>
              <w:rPr>
                <w:rFonts w:ascii="宋体" w:hAnsi="宋体" w:eastAsia="宋体" w:cs="宋体"/>
                <w:sz w:val="24"/>
                <w:szCs w:val="24"/>
              </w:rPr>
            </w:pPr>
            <w:r>
              <w:rPr>
                <w:rFonts w:hint="eastAsia" w:ascii="宋体" w:hAnsi="宋体" w:eastAsia="宋体" w:cs="宋体"/>
                <w:sz w:val="24"/>
                <w:szCs w:val="24"/>
              </w:rPr>
              <w:t>秦勇</w:t>
            </w:r>
          </w:p>
        </w:tc>
        <w:tc>
          <w:tcPr>
            <w:tcW w:w="1822" w:type="pct"/>
            <w:tcBorders>
              <w:top w:val="single" w:color="auto" w:sz="4" w:space="0"/>
              <w:left w:val="single" w:color="auto" w:sz="4" w:space="0"/>
              <w:bottom w:val="single" w:color="auto" w:sz="4" w:space="0"/>
              <w:right w:val="single" w:color="auto" w:sz="4" w:space="0"/>
            </w:tcBorders>
            <w:vAlign w:val="center"/>
          </w:tcPr>
          <w:p w14:paraId="5BCCD3A7">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670EF9AC">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74793270">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0B59E59A">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7ABE85F6">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6AC1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4FD81905">
            <w:pPr>
              <w:rPr>
                <w:rFonts w:ascii="宋体" w:hAnsi="宋体" w:eastAsia="宋体" w:cs="宋体"/>
                <w:sz w:val="24"/>
                <w:szCs w:val="24"/>
              </w:rPr>
            </w:pPr>
            <w:r>
              <w:rPr>
                <w:rFonts w:hint="eastAsia" w:ascii="宋体" w:hAnsi="宋体" w:eastAsia="宋体" w:cs="宋体"/>
                <w:sz w:val="24"/>
                <w:szCs w:val="24"/>
              </w:rPr>
              <w:t>杨小林</w:t>
            </w:r>
          </w:p>
        </w:tc>
        <w:tc>
          <w:tcPr>
            <w:tcW w:w="1822" w:type="pct"/>
            <w:tcBorders>
              <w:top w:val="single" w:color="auto" w:sz="4" w:space="0"/>
              <w:left w:val="single" w:color="auto" w:sz="4" w:space="0"/>
              <w:bottom w:val="single" w:color="auto" w:sz="4" w:space="0"/>
              <w:right w:val="single" w:color="auto" w:sz="4" w:space="0"/>
            </w:tcBorders>
            <w:vAlign w:val="center"/>
          </w:tcPr>
          <w:p w14:paraId="530EF158">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4DE243CB">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51A29331">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26C58957">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6A5D0DB1">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bl>
    <w:p w14:paraId="35584432">
      <w:pPr>
        <w:widowControl/>
        <w:adjustRightInd w:val="0"/>
        <w:snapToGrid w:val="0"/>
        <w:spacing w:line="560" w:lineRule="exact"/>
        <w:jc w:val="left"/>
        <w:rPr>
          <w:rFonts w:ascii="宋体" w:hAnsi="宋体" w:eastAsia="宋体" w:cs="宋体"/>
          <w:color w:val="000000"/>
          <w:kern w:val="0"/>
          <w:sz w:val="24"/>
          <w:szCs w:val="24"/>
        </w:rPr>
      </w:pPr>
    </w:p>
    <w:p w14:paraId="6D162374">
      <w:pPr>
        <w:widowControl/>
        <w:adjustRightInd w:val="0"/>
        <w:snapToGrid w:val="0"/>
        <w:spacing w:line="560" w:lineRule="exact"/>
        <w:ind w:firstLine="480" w:firstLineChars="200"/>
        <w:jc w:val="left"/>
        <w:rPr>
          <w:rFonts w:ascii="宋体" w:hAnsi="宋体" w:eastAsia="宋体" w:cs="宋体"/>
          <w:color w:val="000000"/>
          <w:kern w:val="0"/>
          <w:sz w:val="24"/>
          <w:szCs w:val="24"/>
        </w:rPr>
      </w:pPr>
      <w:r>
        <w:rPr>
          <w:rFonts w:hint="eastAsia" w:ascii="宋体" w:hAnsi="宋体" w:eastAsia="宋体" w:cs="宋体"/>
          <w:sz w:val="24"/>
          <w:szCs w:val="24"/>
        </w:rPr>
        <w:t>3.一致行动人信息</w:t>
      </w:r>
    </w:p>
    <w:tbl>
      <w:tblPr>
        <w:tblStyle w:val="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9"/>
        <w:gridCol w:w="3105"/>
        <w:gridCol w:w="2963"/>
      </w:tblGrid>
      <w:tr w14:paraId="405C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437" w:type="pct"/>
            <w:tcBorders>
              <w:top w:val="single" w:color="auto" w:sz="4" w:space="0"/>
              <w:left w:val="single" w:color="auto" w:sz="4" w:space="0"/>
              <w:bottom w:val="single" w:color="auto" w:sz="4" w:space="0"/>
              <w:right w:val="single" w:color="auto" w:sz="4" w:space="0"/>
            </w:tcBorders>
            <w:vAlign w:val="center"/>
          </w:tcPr>
          <w:p w14:paraId="187AB9D1">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kern w:val="0"/>
                <w:sz w:val="24"/>
                <w:szCs w:val="24"/>
              </w:rPr>
              <w:t>一致行动人名称</w:t>
            </w:r>
          </w:p>
        </w:tc>
        <w:tc>
          <w:tcPr>
            <w:tcW w:w="1822" w:type="pct"/>
            <w:tcBorders>
              <w:top w:val="single" w:color="auto" w:sz="4" w:space="0"/>
              <w:left w:val="single" w:color="auto" w:sz="4" w:space="0"/>
              <w:bottom w:val="single" w:color="auto" w:sz="4" w:space="0"/>
              <w:right w:val="single" w:color="auto" w:sz="4" w:space="0"/>
            </w:tcBorders>
            <w:vAlign w:val="center"/>
          </w:tcPr>
          <w:p w14:paraId="4479B46E">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sz w:val="24"/>
                <w:szCs w:val="24"/>
              </w:rPr>
              <w:t>投资者身份</w:t>
            </w:r>
          </w:p>
        </w:tc>
        <w:tc>
          <w:tcPr>
            <w:tcW w:w="1739" w:type="pct"/>
            <w:tcBorders>
              <w:top w:val="single" w:color="auto" w:sz="4" w:space="0"/>
              <w:left w:val="single" w:color="auto" w:sz="4" w:space="0"/>
              <w:bottom w:val="single" w:color="auto" w:sz="4" w:space="0"/>
              <w:right w:val="single" w:color="auto" w:sz="4" w:space="0"/>
            </w:tcBorders>
            <w:vAlign w:val="center"/>
          </w:tcPr>
          <w:p w14:paraId="16096BFE">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sz w:val="24"/>
                <w:szCs w:val="24"/>
              </w:rPr>
              <w:t>统一社会信用代码</w:t>
            </w:r>
          </w:p>
        </w:tc>
      </w:tr>
      <w:tr w14:paraId="3412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sdt>
            <w:sdtPr>
              <w:rPr>
                <w:rFonts w:hint="eastAsia" w:ascii="宋体" w:hAnsi="宋体" w:eastAsia="宋体" w:cs="宋体"/>
                <w:kern w:val="0"/>
                <w:sz w:val="24"/>
                <w:szCs w:val="24"/>
              </w:rPr>
              <w:alias w:val="减持主体股东名称"/>
              <w:tag w:val="_GBC_2cfdb61402414e28bff76d8a26c5ac99"/>
              <w:id w:val="-1"/>
              <w:lock w:val="sdtLocked"/>
              <w:comboBox>
                <w:listItem w:displayText="秦勇" w:value="秦勇"/>
                <w:listItem w:displayText="杨厚群" w:value="杨厚群"/>
                <w:listItem w:displayText="杨小林" w:value="杨小林"/>
              </w:comboBox>
            </w:sdtPr>
            <w:sdtEndPr>
              <w:rPr>
                <w:rFonts w:hint="eastAsia" w:ascii="宋体" w:hAnsi="宋体" w:eastAsia="宋体" w:cs="宋体"/>
                <w:kern w:val="0"/>
                <w:sz w:val="24"/>
                <w:szCs w:val="24"/>
              </w:rPr>
            </w:sdtEndPr>
            <w:sdtContent>
              <w:p w14:paraId="65E1A08F">
                <w:pPr>
                  <w:rPr>
                    <w:rFonts w:ascii="宋体" w:hAnsi="宋体" w:eastAsia="宋体" w:cs="宋体"/>
                    <w:kern w:val="0"/>
                    <w:sz w:val="24"/>
                    <w:szCs w:val="24"/>
                  </w:rPr>
                </w:pPr>
                <w:r>
                  <w:rPr>
                    <w:rFonts w:hint="eastAsia" w:ascii="宋体" w:hAnsi="宋体" w:eastAsia="宋体" w:cs="宋体"/>
                    <w:kern w:val="0"/>
                    <w:sz w:val="24"/>
                    <w:szCs w:val="24"/>
                  </w:rPr>
                  <w:t>杨泽民</w:t>
                </w:r>
              </w:p>
            </w:sdtContent>
          </w:sdt>
          <w:p w14:paraId="35725D2D">
            <w:pPr>
              <w:rPr>
                <w:rFonts w:ascii="宋体" w:hAnsi="宋体" w:eastAsia="宋体" w:cs="宋体"/>
                <w:kern w:val="0"/>
                <w:sz w:val="24"/>
                <w:szCs w:val="24"/>
              </w:rPr>
            </w:pPr>
          </w:p>
        </w:tc>
        <w:tc>
          <w:tcPr>
            <w:tcW w:w="1822" w:type="pct"/>
            <w:tcBorders>
              <w:top w:val="single" w:color="auto" w:sz="4" w:space="0"/>
              <w:left w:val="single" w:color="auto" w:sz="4" w:space="0"/>
              <w:bottom w:val="single" w:color="auto" w:sz="4" w:space="0"/>
              <w:right w:val="single" w:color="auto" w:sz="4" w:space="0"/>
            </w:tcBorders>
            <w:vAlign w:val="center"/>
          </w:tcPr>
          <w:p w14:paraId="208011B5">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7C825CA7">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1D8A0437">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1EC2A4B0">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7A72E75D">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657C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sdt>
            <w:sdtPr>
              <w:rPr>
                <w:rFonts w:hint="eastAsia" w:ascii="宋体" w:hAnsi="宋体" w:eastAsia="宋体" w:cs="宋体"/>
                <w:kern w:val="0"/>
                <w:sz w:val="24"/>
                <w:szCs w:val="24"/>
              </w:rPr>
              <w:alias w:val="减持主体股东名称"/>
              <w:tag w:val="_GBC_2cfdb61402414e28bff76d8a26c5ac99"/>
              <w:id w:val="29273530"/>
              <w:lock w:val="sdtLocked"/>
              <w:comboBox>
                <w:listItem w:displayText="秦勇" w:value="秦勇"/>
                <w:listItem w:displayText="杨厚群" w:value="杨厚群"/>
                <w:listItem w:displayText="杨小林" w:value="杨小林"/>
              </w:comboBox>
            </w:sdtPr>
            <w:sdtEndPr>
              <w:rPr>
                <w:rFonts w:hint="eastAsia" w:ascii="宋体" w:hAnsi="宋体" w:eastAsia="宋体" w:cs="宋体"/>
                <w:kern w:val="0"/>
                <w:sz w:val="24"/>
                <w:szCs w:val="24"/>
              </w:rPr>
            </w:sdtEndPr>
            <w:sdtContent>
              <w:p w14:paraId="39DE5ACA">
                <w:pPr>
                  <w:rPr>
                    <w:rFonts w:ascii="宋体" w:hAnsi="宋体" w:eastAsia="宋体" w:cs="宋体"/>
                    <w:kern w:val="0"/>
                    <w:sz w:val="24"/>
                    <w:szCs w:val="24"/>
                  </w:rPr>
                </w:pPr>
                <w:r>
                  <w:rPr>
                    <w:rFonts w:hint="eastAsia" w:ascii="宋体" w:hAnsi="宋体" w:eastAsia="宋体" w:cs="宋体"/>
                    <w:kern w:val="0"/>
                    <w:sz w:val="24"/>
                    <w:szCs w:val="24"/>
                  </w:rPr>
                  <w:t>秦惠兰</w:t>
                </w:r>
              </w:p>
            </w:sdtContent>
          </w:sdt>
          <w:p w14:paraId="5D24E3ED">
            <w:pPr>
              <w:rPr>
                <w:rFonts w:ascii="宋体" w:hAnsi="宋体" w:eastAsia="宋体" w:cs="宋体"/>
                <w:kern w:val="0"/>
                <w:sz w:val="24"/>
                <w:szCs w:val="24"/>
              </w:rPr>
            </w:pPr>
          </w:p>
        </w:tc>
        <w:tc>
          <w:tcPr>
            <w:tcW w:w="1822" w:type="pct"/>
            <w:tcBorders>
              <w:top w:val="single" w:color="auto" w:sz="4" w:space="0"/>
              <w:left w:val="single" w:color="auto" w:sz="4" w:space="0"/>
              <w:bottom w:val="single" w:color="auto" w:sz="4" w:space="0"/>
              <w:right w:val="single" w:color="auto" w:sz="4" w:space="0"/>
            </w:tcBorders>
            <w:vAlign w:val="center"/>
          </w:tcPr>
          <w:p w14:paraId="27DB5671">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172E30F7">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2668705C">
            <w:pPr>
              <w:widowControl/>
              <w:numPr>
                <w:ilvl w:val="255"/>
                <w:numId w:val="0"/>
              </w:numPr>
              <w:rPr>
                <w:rFonts w:ascii="宋体" w:hAnsi="宋体" w:eastAsia="宋体" w:cs="宋体"/>
                <w:kern w:val="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002A5E10">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4D2CF593">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5F99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452D01E7">
            <w:pPr>
              <w:rPr>
                <w:rFonts w:ascii="宋体" w:hAnsi="宋体" w:eastAsia="宋体" w:cs="宋体"/>
                <w:sz w:val="24"/>
                <w:szCs w:val="24"/>
              </w:rPr>
            </w:pPr>
            <w:r>
              <w:rPr>
                <w:rFonts w:hint="eastAsia" w:ascii="宋体" w:hAnsi="宋体" w:eastAsia="宋体" w:cs="宋体"/>
                <w:sz w:val="24"/>
                <w:szCs w:val="24"/>
              </w:rPr>
              <w:t>杨耀</w:t>
            </w:r>
          </w:p>
        </w:tc>
        <w:tc>
          <w:tcPr>
            <w:tcW w:w="1822" w:type="pct"/>
            <w:tcBorders>
              <w:top w:val="single" w:color="auto" w:sz="4" w:space="0"/>
              <w:left w:val="single" w:color="auto" w:sz="4" w:space="0"/>
              <w:bottom w:val="single" w:color="auto" w:sz="4" w:space="0"/>
              <w:right w:val="single" w:color="auto" w:sz="4" w:space="0"/>
            </w:tcBorders>
            <w:vAlign w:val="center"/>
          </w:tcPr>
          <w:p w14:paraId="7F28253A">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759EBF7A">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678F70C8">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4354849D">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3B9684AF">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1974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108A0C88">
            <w:pPr>
              <w:rPr>
                <w:rFonts w:ascii="宋体" w:hAnsi="宋体" w:eastAsia="宋体" w:cs="宋体"/>
                <w:sz w:val="24"/>
                <w:szCs w:val="24"/>
              </w:rPr>
            </w:pPr>
            <w:r>
              <w:rPr>
                <w:rFonts w:hint="eastAsia" w:ascii="宋体" w:hAnsi="宋体" w:eastAsia="宋体" w:cs="宋体"/>
                <w:sz w:val="24"/>
                <w:szCs w:val="24"/>
              </w:rPr>
              <w:t>杨秦</w:t>
            </w:r>
          </w:p>
        </w:tc>
        <w:tc>
          <w:tcPr>
            <w:tcW w:w="1822" w:type="pct"/>
            <w:tcBorders>
              <w:top w:val="single" w:color="auto" w:sz="4" w:space="0"/>
              <w:left w:val="single" w:color="auto" w:sz="4" w:space="0"/>
              <w:bottom w:val="single" w:color="auto" w:sz="4" w:space="0"/>
              <w:right w:val="single" w:color="auto" w:sz="4" w:space="0"/>
            </w:tcBorders>
            <w:vAlign w:val="center"/>
          </w:tcPr>
          <w:p w14:paraId="0E5B0B28">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2B1058E0">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1512BDE2">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098CD5E0">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21269E1E">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1435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01D9893D">
            <w:pPr>
              <w:rPr>
                <w:rFonts w:ascii="宋体" w:hAnsi="宋体" w:eastAsia="宋体" w:cs="宋体"/>
                <w:sz w:val="24"/>
                <w:szCs w:val="24"/>
              </w:rPr>
            </w:pPr>
            <w:r>
              <w:rPr>
                <w:rFonts w:hint="eastAsia" w:ascii="宋体" w:hAnsi="宋体" w:eastAsia="宋体" w:cs="宋体"/>
                <w:sz w:val="24"/>
                <w:szCs w:val="24"/>
              </w:rPr>
              <w:t>皮天彬</w:t>
            </w:r>
          </w:p>
        </w:tc>
        <w:tc>
          <w:tcPr>
            <w:tcW w:w="1822" w:type="pct"/>
            <w:tcBorders>
              <w:top w:val="single" w:color="auto" w:sz="4" w:space="0"/>
              <w:left w:val="single" w:color="auto" w:sz="4" w:space="0"/>
              <w:bottom w:val="single" w:color="auto" w:sz="4" w:space="0"/>
              <w:right w:val="single" w:color="auto" w:sz="4" w:space="0"/>
            </w:tcBorders>
            <w:vAlign w:val="center"/>
          </w:tcPr>
          <w:p w14:paraId="49799387">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504D83CB">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6DBFB105">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697B272F">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024E326A">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17FB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089CA39D">
            <w:pPr>
              <w:rPr>
                <w:rFonts w:ascii="宋体" w:hAnsi="宋体" w:eastAsia="宋体" w:cs="宋体"/>
                <w:color w:val="FF0000"/>
                <w:sz w:val="24"/>
                <w:szCs w:val="24"/>
              </w:rPr>
            </w:pPr>
            <w:r>
              <w:rPr>
                <w:rFonts w:hint="eastAsia" w:ascii="宋体" w:hAnsi="宋体" w:eastAsia="宋体" w:cs="宋体"/>
                <w:sz w:val="24"/>
                <w:szCs w:val="24"/>
              </w:rPr>
              <w:t>隆志钢</w:t>
            </w:r>
          </w:p>
        </w:tc>
        <w:tc>
          <w:tcPr>
            <w:tcW w:w="1822" w:type="pct"/>
            <w:tcBorders>
              <w:top w:val="single" w:color="auto" w:sz="4" w:space="0"/>
              <w:left w:val="single" w:color="auto" w:sz="4" w:space="0"/>
              <w:bottom w:val="single" w:color="auto" w:sz="4" w:space="0"/>
              <w:right w:val="single" w:color="auto" w:sz="4" w:space="0"/>
            </w:tcBorders>
            <w:vAlign w:val="center"/>
          </w:tcPr>
          <w:p w14:paraId="39019CCF">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10302FCE">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50F12A6B">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2488509D">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1A5E2569">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bl>
    <w:p w14:paraId="5B96F5A2">
      <w:pPr>
        <w:widowControl/>
        <w:adjustRightInd w:val="0"/>
        <w:snapToGrid w:val="0"/>
        <w:spacing w:line="560" w:lineRule="exact"/>
        <w:ind w:firstLine="600"/>
        <w:jc w:val="left"/>
        <w:rPr>
          <w:rFonts w:ascii="宋体" w:hAnsi="宋体" w:eastAsia="宋体" w:cs="宋体"/>
          <w:b/>
          <w:bCs/>
          <w:sz w:val="24"/>
          <w:szCs w:val="24"/>
        </w:rPr>
      </w:pPr>
    </w:p>
    <w:p w14:paraId="42E4CFAC">
      <w:pPr>
        <w:widowControl/>
        <w:adjustRightInd w:val="0"/>
        <w:snapToGrid w:val="0"/>
        <w:spacing w:line="560" w:lineRule="exact"/>
        <w:ind w:firstLine="600"/>
        <w:jc w:val="left"/>
        <w:rPr>
          <w:rFonts w:ascii="宋体" w:hAnsi="宋体" w:eastAsia="宋体" w:cs="宋体"/>
          <w:b/>
          <w:bCs/>
          <w:sz w:val="24"/>
          <w:szCs w:val="24"/>
        </w:rPr>
      </w:pPr>
    </w:p>
    <w:p w14:paraId="29FE2D63">
      <w:pPr>
        <w:widowControl/>
        <w:numPr>
          <w:ilvl w:val="0"/>
          <w:numId w:val="1"/>
        </w:numPr>
        <w:adjustRightInd w:val="0"/>
        <w:snapToGrid w:val="0"/>
        <w:spacing w:line="560" w:lineRule="exact"/>
        <w:ind w:left="0" w:firstLine="482" w:firstLineChars="200"/>
        <w:jc w:val="left"/>
        <w:outlineLvl w:val="0"/>
        <w:rPr>
          <w:rFonts w:ascii="宋体" w:hAnsi="宋体" w:eastAsia="宋体" w:cs="宋体"/>
          <w:b/>
          <w:bCs/>
          <w:sz w:val="24"/>
          <w:szCs w:val="24"/>
        </w:rPr>
      </w:pPr>
      <w:r>
        <w:rPr>
          <w:rFonts w:hint="eastAsia" w:ascii="宋体" w:hAnsi="宋体" w:eastAsia="宋体" w:cs="宋体"/>
          <w:b/>
          <w:bCs/>
          <w:sz w:val="24"/>
          <w:szCs w:val="24"/>
        </w:rPr>
        <w:t>权益变动触及1%刻度的基本情况</w:t>
      </w:r>
    </w:p>
    <w:p w14:paraId="44D44091">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重庆望变电气（集团）股份有限公司（以下简称“公司”）于2025年7月2</w:t>
      </w:r>
      <w:r>
        <w:rPr>
          <w:rFonts w:hint="eastAsia" w:asciiTheme="minorEastAsia" w:hAnsiTheme="minorEastAsia" w:cstheme="minorEastAsia"/>
          <w:sz w:val="24"/>
          <w:szCs w:val="24"/>
          <w:lang w:val="en-US" w:eastAsia="zh-CN"/>
        </w:rPr>
        <w:t>9</w:t>
      </w:r>
      <w:r>
        <w:rPr>
          <w:rFonts w:hint="eastAsia" w:asciiTheme="minorEastAsia" w:hAnsiTheme="minorEastAsia" w:cstheme="minorEastAsia"/>
          <w:sz w:val="24"/>
          <w:szCs w:val="24"/>
        </w:rPr>
        <w:t>日收到公司实际控制人一致行动人杨厚群女士、秦勇女士及杨小林先生通知。杨厚群女士于2025年7月</w:t>
      </w:r>
      <w:r>
        <w:rPr>
          <w:rFonts w:hint="eastAsia" w:asciiTheme="minorEastAsia" w:hAnsiTheme="minorEastAsia" w:cstheme="minorEastAsia"/>
          <w:sz w:val="24"/>
          <w:szCs w:val="24"/>
          <w:lang w:val="en-US" w:eastAsia="zh-CN"/>
        </w:rPr>
        <w:t>23</w:t>
      </w:r>
      <w:r>
        <w:rPr>
          <w:rFonts w:hint="eastAsia" w:asciiTheme="minorEastAsia" w:hAnsiTheme="minorEastAsia" w:cstheme="minorEastAsia"/>
          <w:sz w:val="24"/>
          <w:szCs w:val="24"/>
        </w:rPr>
        <w:t>日至2025年7月</w:t>
      </w:r>
      <w:r>
        <w:rPr>
          <w:rFonts w:hint="eastAsia" w:asciiTheme="minorEastAsia" w:hAnsiTheme="minorEastAsia" w:cstheme="minorEastAsia"/>
          <w:sz w:val="24"/>
          <w:szCs w:val="24"/>
          <w:lang w:val="en-US" w:eastAsia="zh-CN"/>
        </w:rPr>
        <w:t>28</w:t>
      </w:r>
      <w:r>
        <w:rPr>
          <w:rFonts w:hint="eastAsia" w:asciiTheme="minorEastAsia" w:hAnsiTheme="minorEastAsia" w:cstheme="minorEastAsia"/>
          <w:sz w:val="24"/>
          <w:szCs w:val="24"/>
        </w:rPr>
        <w:t>日期间，通过集中竞价交易方式</w:t>
      </w:r>
      <w:r>
        <w:rPr>
          <w:rFonts w:hint="eastAsia" w:asciiTheme="minorEastAsia" w:hAnsiTheme="minorEastAsia" w:cstheme="minorEastAsia"/>
          <w:sz w:val="24"/>
          <w:szCs w:val="24"/>
          <w:lang w:val="en-US" w:eastAsia="zh-CN"/>
        </w:rPr>
        <w:t>减持公司股份675,800股，通过大宗交易方式</w:t>
      </w:r>
      <w:r>
        <w:rPr>
          <w:rFonts w:hint="eastAsia" w:asciiTheme="minorEastAsia" w:hAnsiTheme="minorEastAsia" w:cstheme="minorEastAsia"/>
          <w:sz w:val="24"/>
          <w:szCs w:val="24"/>
        </w:rPr>
        <w:t>减持公司</w:t>
      </w:r>
      <w:r>
        <w:rPr>
          <w:rFonts w:hint="eastAsia" w:asciiTheme="minorEastAsia" w:hAnsiTheme="minorEastAsia" w:cstheme="minorEastAsia"/>
          <w:sz w:val="24"/>
          <w:szCs w:val="24"/>
          <w:lang w:val="en-US" w:eastAsia="zh-CN"/>
        </w:rPr>
        <w:t>股份1,932,756</w:t>
      </w:r>
      <w:r>
        <w:rPr>
          <w:rFonts w:hint="eastAsia" w:asciiTheme="minorEastAsia" w:hAnsiTheme="minorEastAsia" w:cstheme="minorEastAsia"/>
          <w:sz w:val="24"/>
          <w:szCs w:val="24"/>
        </w:rPr>
        <w:t>股；秦勇女士于2025年7月</w:t>
      </w:r>
      <w:r>
        <w:rPr>
          <w:rFonts w:hint="eastAsia" w:asciiTheme="minorEastAsia" w:hAnsiTheme="minorEastAsia" w:cstheme="minorEastAsia"/>
          <w:sz w:val="24"/>
          <w:szCs w:val="24"/>
          <w:lang w:val="en-US" w:eastAsia="zh-CN"/>
        </w:rPr>
        <w:t>24</w:t>
      </w:r>
      <w:r>
        <w:rPr>
          <w:rFonts w:hint="eastAsia" w:asciiTheme="minorEastAsia" w:hAnsiTheme="minorEastAsia" w:cstheme="minorEastAsia"/>
          <w:sz w:val="24"/>
          <w:szCs w:val="24"/>
        </w:rPr>
        <w:t>日至2025年7月</w:t>
      </w:r>
      <w:r>
        <w:rPr>
          <w:rFonts w:hint="eastAsia" w:asciiTheme="minorEastAsia" w:hAnsiTheme="minorEastAsia" w:cstheme="minorEastAsia"/>
          <w:sz w:val="24"/>
          <w:szCs w:val="24"/>
          <w:lang w:val="en-US" w:eastAsia="zh-CN"/>
        </w:rPr>
        <w:t>28</w:t>
      </w:r>
      <w:r>
        <w:rPr>
          <w:rFonts w:hint="eastAsia" w:asciiTheme="minorEastAsia" w:hAnsiTheme="minorEastAsia" w:cstheme="minorEastAsia"/>
          <w:sz w:val="24"/>
          <w:szCs w:val="24"/>
        </w:rPr>
        <w:t>日期间，通过集中竞价交易</w:t>
      </w:r>
      <w:r>
        <w:rPr>
          <w:rFonts w:hint="eastAsia" w:asciiTheme="minorEastAsia" w:hAnsiTheme="minorEastAsia" w:cstheme="minorEastAsia"/>
          <w:sz w:val="24"/>
          <w:szCs w:val="24"/>
          <w:lang w:val="en-US" w:eastAsia="zh-CN"/>
        </w:rPr>
        <w:t>减持公司股份357,800股，通过大宗交易方式</w:t>
      </w:r>
      <w:r>
        <w:rPr>
          <w:rFonts w:hint="eastAsia" w:asciiTheme="minorEastAsia" w:hAnsiTheme="minorEastAsia" w:cstheme="minorEastAsia"/>
          <w:sz w:val="24"/>
          <w:szCs w:val="24"/>
        </w:rPr>
        <w:t>减持公司</w:t>
      </w:r>
      <w:r>
        <w:rPr>
          <w:rFonts w:hint="eastAsia" w:asciiTheme="minorEastAsia" w:hAnsiTheme="minorEastAsia" w:cstheme="minorEastAsia"/>
          <w:sz w:val="24"/>
          <w:szCs w:val="24"/>
          <w:lang w:val="en-US" w:eastAsia="zh-CN"/>
        </w:rPr>
        <w:t>股份150,000</w:t>
      </w:r>
      <w:r>
        <w:rPr>
          <w:rFonts w:hint="eastAsia" w:asciiTheme="minorEastAsia" w:hAnsiTheme="minorEastAsia" w:cstheme="minorEastAsia"/>
          <w:sz w:val="24"/>
          <w:szCs w:val="24"/>
        </w:rPr>
        <w:t>股；杨小林先生于2025年7月</w:t>
      </w:r>
      <w:r>
        <w:rPr>
          <w:rFonts w:hint="eastAsia" w:asciiTheme="minorEastAsia" w:hAnsiTheme="minorEastAsia" w:cstheme="minorEastAsia"/>
          <w:sz w:val="24"/>
          <w:szCs w:val="24"/>
          <w:lang w:val="en-US" w:eastAsia="zh-CN"/>
        </w:rPr>
        <w:t>25</w:t>
      </w:r>
      <w:r>
        <w:rPr>
          <w:rFonts w:hint="eastAsia" w:asciiTheme="minorEastAsia" w:hAnsiTheme="minorEastAsia" w:cstheme="minorEastAsia"/>
          <w:sz w:val="24"/>
          <w:szCs w:val="24"/>
        </w:rPr>
        <w:t>日，通过集中竞价交易方式减持公司</w:t>
      </w:r>
      <w:r>
        <w:rPr>
          <w:rFonts w:hint="eastAsia" w:asciiTheme="minorEastAsia" w:hAnsiTheme="minorEastAsia" w:cstheme="minorEastAsia"/>
          <w:sz w:val="24"/>
          <w:szCs w:val="24"/>
          <w:lang w:val="en-US" w:eastAsia="zh-CN"/>
        </w:rPr>
        <w:t>股份197,700</w:t>
      </w:r>
      <w:r>
        <w:rPr>
          <w:rFonts w:hint="eastAsia" w:asciiTheme="minorEastAsia" w:hAnsiTheme="minorEastAsia" w:cstheme="minorEastAsia"/>
          <w:sz w:val="24"/>
          <w:szCs w:val="24"/>
        </w:rPr>
        <w:t>股。其与一致行动人合计持有公司股份比例由42.56%减少至4</w:t>
      </w:r>
      <w:r>
        <w:rPr>
          <w:rFonts w:hint="eastAsia" w:asciiTheme="minorEastAsia" w:hAnsiTheme="minorEastAsia" w:cstheme="minorEastAsia"/>
          <w:sz w:val="24"/>
          <w:szCs w:val="24"/>
          <w:lang w:val="en-US" w:eastAsia="zh-CN"/>
        </w:rPr>
        <w:t>1</w:t>
      </w:r>
      <w:r>
        <w:rPr>
          <w:rFonts w:hint="eastAsia" w:asciiTheme="minorEastAsia" w:hAnsiTheme="minorEastAsia" w:cstheme="minorEastAsia"/>
          <w:sz w:val="24"/>
          <w:szCs w:val="24"/>
        </w:rPr>
        <w:t>.5</w:t>
      </w:r>
      <w:r>
        <w:rPr>
          <w:rFonts w:hint="eastAsia" w:asciiTheme="minorEastAsia" w:hAnsiTheme="minorEastAsia" w:cstheme="minorEastAsia"/>
          <w:sz w:val="24"/>
          <w:szCs w:val="24"/>
          <w:lang w:val="en-US" w:eastAsia="zh-CN"/>
        </w:rPr>
        <w:t>7</w:t>
      </w:r>
      <w:r>
        <w:rPr>
          <w:rFonts w:hint="eastAsia" w:asciiTheme="minorEastAsia" w:hAnsiTheme="minorEastAsia" w:cstheme="minorEastAsia"/>
          <w:sz w:val="24"/>
          <w:szCs w:val="24"/>
        </w:rPr>
        <w:t>%，权益变动触及1%刻度，具体情况如下：</w:t>
      </w:r>
    </w:p>
    <w:tbl>
      <w:tblPr>
        <w:tblStyle w:val="9"/>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541"/>
        <w:gridCol w:w="960"/>
        <w:gridCol w:w="1327"/>
        <w:gridCol w:w="988"/>
        <w:gridCol w:w="1700"/>
        <w:gridCol w:w="1364"/>
      </w:tblGrid>
      <w:tr w14:paraId="4C00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500" w:type="pct"/>
            <w:tcBorders>
              <w:top w:val="single" w:color="auto" w:sz="4" w:space="0"/>
              <w:left w:val="single" w:color="auto" w:sz="4" w:space="0"/>
              <w:bottom w:val="single" w:color="auto" w:sz="4" w:space="0"/>
              <w:right w:val="single" w:color="auto" w:sz="4" w:space="0"/>
            </w:tcBorders>
            <w:vAlign w:val="center"/>
          </w:tcPr>
          <w:p w14:paraId="1BBEE3AC">
            <w:pPr>
              <w:widowControl/>
              <w:numPr>
                <w:ilvl w:val="255"/>
                <w:numId w:val="0"/>
              </w:num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kern w:val="0"/>
                <w:sz w:val="18"/>
                <w:szCs w:val="18"/>
              </w:rPr>
              <w:t>投资者名称</w:t>
            </w:r>
          </w:p>
        </w:tc>
        <w:tc>
          <w:tcPr>
            <w:tcW w:w="879" w:type="pct"/>
            <w:tcBorders>
              <w:top w:val="single" w:color="auto" w:sz="4" w:space="0"/>
              <w:left w:val="single" w:color="auto" w:sz="4" w:space="0"/>
              <w:bottom w:val="single" w:color="auto" w:sz="4" w:space="0"/>
              <w:right w:val="single" w:color="auto" w:sz="4" w:space="0"/>
            </w:tcBorders>
            <w:vAlign w:val="center"/>
          </w:tcPr>
          <w:p w14:paraId="52C5693E">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变动前股数（万股）</w:t>
            </w:r>
          </w:p>
        </w:tc>
        <w:tc>
          <w:tcPr>
            <w:tcW w:w="548" w:type="pct"/>
            <w:tcBorders>
              <w:top w:val="single" w:color="auto" w:sz="4" w:space="0"/>
              <w:left w:val="single" w:color="auto" w:sz="4" w:space="0"/>
              <w:bottom w:val="single" w:color="auto" w:sz="4" w:space="0"/>
              <w:right w:val="single" w:color="auto" w:sz="4" w:space="0"/>
            </w:tcBorders>
            <w:vAlign w:val="center"/>
          </w:tcPr>
          <w:p w14:paraId="1D305E40">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变动前比例</w:t>
            </w:r>
          </w:p>
        </w:tc>
        <w:tc>
          <w:tcPr>
            <w:tcW w:w="757" w:type="pct"/>
            <w:tcBorders>
              <w:top w:val="single" w:color="auto" w:sz="4" w:space="0"/>
              <w:left w:val="single" w:color="auto" w:sz="4" w:space="0"/>
              <w:bottom w:val="single" w:color="auto" w:sz="4" w:space="0"/>
              <w:right w:val="single" w:color="auto" w:sz="4" w:space="0"/>
            </w:tcBorders>
            <w:vAlign w:val="center"/>
          </w:tcPr>
          <w:p w14:paraId="2C790E3D">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变动后股数（万股）</w:t>
            </w:r>
          </w:p>
        </w:tc>
        <w:tc>
          <w:tcPr>
            <w:tcW w:w="564" w:type="pct"/>
            <w:tcBorders>
              <w:top w:val="single" w:color="auto" w:sz="4" w:space="0"/>
              <w:left w:val="single" w:color="auto" w:sz="4" w:space="0"/>
              <w:bottom w:val="single" w:color="auto" w:sz="4" w:space="0"/>
              <w:right w:val="single" w:color="auto" w:sz="4" w:space="0"/>
            </w:tcBorders>
            <w:vAlign w:val="center"/>
          </w:tcPr>
          <w:p w14:paraId="239D8BDA">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变动后比例</w:t>
            </w:r>
          </w:p>
        </w:tc>
        <w:tc>
          <w:tcPr>
            <w:tcW w:w="970" w:type="pct"/>
            <w:tcBorders>
              <w:top w:val="single" w:color="auto" w:sz="4" w:space="0"/>
              <w:left w:val="single" w:color="auto" w:sz="4" w:space="0"/>
              <w:bottom w:val="single" w:color="auto" w:sz="4" w:space="0"/>
              <w:right w:val="single" w:color="auto" w:sz="4" w:space="0"/>
            </w:tcBorders>
            <w:vAlign w:val="center"/>
          </w:tcPr>
          <w:p w14:paraId="7A782631">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权益变动方式</w:t>
            </w:r>
          </w:p>
        </w:tc>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461F3DAB">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权益变动的</w:t>
            </w:r>
          </w:p>
          <w:p w14:paraId="243FAF10">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时间区间</w:t>
            </w:r>
          </w:p>
        </w:tc>
      </w:tr>
      <w:tr w14:paraId="2F2A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500" w:type="pct"/>
            <w:tcBorders>
              <w:top w:val="single" w:color="auto" w:sz="4" w:space="0"/>
              <w:left w:val="single" w:color="auto" w:sz="4" w:space="0"/>
              <w:bottom w:val="single" w:color="auto" w:sz="4" w:space="0"/>
              <w:right w:val="single" w:color="auto" w:sz="4" w:space="0"/>
            </w:tcBorders>
            <w:vAlign w:val="center"/>
          </w:tcPr>
          <w:p w14:paraId="67BC550C">
            <w:pPr>
              <w:keepNext w:val="0"/>
              <w:keepLines w:val="0"/>
              <w:widowControl/>
              <w:suppressLineNumbers w:val="0"/>
              <w:jc w:val="both"/>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杨厚群</w:t>
            </w:r>
          </w:p>
        </w:tc>
        <w:tc>
          <w:tcPr>
            <w:tcW w:w="879" w:type="pct"/>
            <w:tcBorders>
              <w:top w:val="single" w:color="auto" w:sz="4" w:space="0"/>
              <w:left w:val="single" w:color="auto" w:sz="4" w:space="0"/>
              <w:bottom w:val="single" w:color="auto" w:sz="4" w:space="0"/>
              <w:right w:val="single" w:color="auto" w:sz="4" w:space="0"/>
            </w:tcBorders>
            <w:vAlign w:val="center"/>
          </w:tcPr>
          <w:p w14:paraId="5ACC16FC">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 7,068,000 </w:t>
            </w:r>
          </w:p>
        </w:tc>
        <w:tc>
          <w:tcPr>
            <w:tcW w:w="548" w:type="pct"/>
            <w:tcBorders>
              <w:top w:val="single" w:color="auto" w:sz="4" w:space="0"/>
              <w:left w:val="single" w:color="auto" w:sz="4" w:space="0"/>
              <w:bottom w:val="single" w:color="auto" w:sz="4" w:space="0"/>
              <w:right w:val="single" w:color="auto" w:sz="4" w:space="0"/>
            </w:tcBorders>
            <w:vAlign w:val="center"/>
          </w:tcPr>
          <w:p w14:paraId="0C669D2C">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2.13%</w:t>
            </w:r>
          </w:p>
        </w:tc>
        <w:tc>
          <w:tcPr>
            <w:tcW w:w="757" w:type="pct"/>
            <w:tcBorders>
              <w:top w:val="single" w:color="auto" w:sz="4" w:space="0"/>
              <w:left w:val="single" w:color="auto" w:sz="4" w:space="0"/>
              <w:bottom w:val="single" w:color="auto" w:sz="4" w:space="0"/>
              <w:right w:val="single" w:color="auto" w:sz="4" w:space="0"/>
            </w:tcBorders>
            <w:vAlign w:val="center"/>
          </w:tcPr>
          <w:p w14:paraId="31EE5348">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 4,459,444 </w:t>
            </w:r>
          </w:p>
        </w:tc>
        <w:tc>
          <w:tcPr>
            <w:tcW w:w="564" w:type="pct"/>
            <w:tcBorders>
              <w:top w:val="single" w:color="auto" w:sz="4" w:space="0"/>
              <w:left w:val="single" w:color="auto" w:sz="4" w:space="0"/>
              <w:bottom w:val="single" w:color="auto" w:sz="4" w:space="0"/>
              <w:right w:val="single" w:color="auto" w:sz="4" w:space="0"/>
            </w:tcBorders>
            <w:vAlign w:val="center"/>
          </w:tcPr>
          <w:p w14:paraId="5DDFCA55">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1.34%</w:t>
            </w:r>
          </w:p>
        </w:tc>
        <w:tc>
          <w:tcPr>
            <w:tcW w:w="970" w:type="pct"/>
            <w:tcBorders>
              <w:left w:val="single" w:color="auto" w:sz="4" w:space="0"/>
              <w:right w:val="single" w:color="auto" w:sz="4" w:space="0"/>
            </w:tcBorders>
            <w:vAlign w:val="center"/>
          </w:tcPr>
          <w:p w14:paraId="5D73F9B0">
            <w:pPr>
              <w:rPr>
                <w:rFonts w:asciiTheme="minorEastAsia" w:hAnsiTheme="minorEastAsia" w:cstheme="minorEastAsia"/>
                <w:sz w:val="18"/>
                <w:szCs w:val="18"/>
              </w:rPr>
            </w:pPr>
            <w:r>
              <w:rPr>
                <w:rFonts w:hint="eastAsia" w:asciiTheme="minorEastAsia" w:hAnsiTheme="minorEastAsia" w:cstheme="minorEastAsia"/>
                <w:sz w:val="18"/>
                <w:szCs w:val="18"/>
              </w:rPr>
              <w:t>集中竞价   ☑</w:t>
            </w:r>
          </w:p>
          <w:p w14:paraId="7B7F14A7">
            <w:pPr>
              <w:rPr>
                <w:rFonts w:hint="eastAsia" w:asciiTheme="minorEastAsia" w:hAnsiTheme="minorEastAsia" w:eastAsiaTheme="minorEastAsia" w:cstheme="minorEastAsia"/>
                <w:sz w:val="18"/>
                <w:szCs w:val="18"/>
                <w:lang w:eastAsia="zh-CN"/>
              </w:rPr>
            </w:pPr>
            <w:r>
              <w:rPr>
                <w:rFonts w:hint="eastAsia" w:asciiTheme="minorEastAsia" w:hAnsiTheme="minorEastAsia" w:cstheme="minorEastAsia"/>
                <w:sz w:val="18"/>
                <w:szCs w:val="18"/>
              </w:rPr>
              <w:t xml:space="preserve">大宗交易   </w:t>
            </w:r>
            <w:r>
              <w:rPr>
                <w:rFonts w:hint="eastAsia" w:asciiTheme="minorEastAsia" w:hAnsiTheme="minorEastAsia" w:cstheme="minorEastAsia"/>
                <w:sz w:val="18"/>
                <w:szCs w:val="18"/>
                <w:lang w:eastAsia="zh-CN"/>
              </w:rPr>
              <w:t>☑</w:t>
            </w:r>
          </w:p>
          <w:p w14:paraId="076DA97B">
            <w:pPr>
              <w:rPr>
                <w:rFonts w:asciiTheme="minorEastAsia" w:hAnsiTheme="minorEastAsia" w:cstheme="minorEastAsia"/>
                <w:sz w:val="18"/>
                <w:szCs w:val="18"/>
              </w:rPr>
            </w:pPr>
            <w:r>
              <w:rPr>
                <w:rFonts w:hint="eastAsia" w:asciiTheme="minorEastAsia" w:hAnsiTheme="minorEastAsia" w:cstheme="minorEastAsia"/>
                <w:sz w:val="18"/>
                <w:szCs w:val="18"/>
              </w:rPr>
              <w:t>其他：____</w:t>
            </w:r>
          </w:p>
        </w:tc>
        <w:tc>
          <w:tcPr>
            <w:tcW w:w="778" w:type="pct"/>
            <w:tcBorders>
              <w:left w:val="single" w:color="auto" w:sz="4" w:space="0"/>
              <w:right w:val="single" w:color="auto" w:sz="4" w:space="0"/>
            </w:tcBorders>
            <w:shd w:val="clear" w:color="auto" w:fill="auto"/>
            <w:vAlign w:val="center"/>
          </w:tcPr>
          <w:p w14:paraId="6B2E9D59">
            <w:pPr>
              <w:rPr>
                <w:rFonts w:hint="eastAsia" w:asciiTheme="minorEastAsia" w:hAnsiTheme="minorEastAsia" w:eastAsiaTheme="minorEastAsia" w:cstheme="minorEastAsia"/>
                <w:sz w:val="18"/>
                <w:szCs w:val="18"/>
                <w:lang w:eastAsia="zh-CN"/>
              </w:rPr>
            </w:pPr>
            <w:r>
              <w:rPr>
                <w:rFonts w:hint="eastAsia" w:asciiTheme="minorEastAsia" w:hAnsiTheme="minorEastAsia" w:cstheme="minorEastAsia"/>
                <w:sz w:val="18"/>
                <w:szCs w:val="18"/>
              </w:rPr>
              <w:t>2025/07/</w:t>
            </w:r>
            <w:r>
              <w:rPr>
                <w:rFonts w:hint="eastAsia" w:asciiTheme="minorEastAsia" w:hAnsiTheme="minorEastAsia" w:cstheme="minorEastAsia"/>
                <w:sz w:val="18"/>
                <w:szCs w:val="18"/>
                <w:lang w:val="en-US" w:eastAsia="zh-CN"/>
              </w:rPr>
              <w:t>23</w:t>
            </w:r>
            <w:r>
              <w:rPr>
                <w:rFonts w:hint="eastAsia" w:asciiTheme="minorEastAsia" w:hAnsiTheme="minorEastAsia" w:cstheme="minorEastAsia"/>
                <w:sz w:val="18"/>
                <w:szCs w:val="18"/>
              </w:rPr>
              <w:t>- 2025/07/2</w:t>
            </w:r>
            <w:r>
              <w:rPr>
                <w:rFonts w:hint="eastAsia" w:asciiTheme="minorEastAsia" w:hAnsiTheme="minorEastAsia" w:cstheme="minorEastAsia"/>
                <w:sz w:val="18"/>
                <w:szCs w:val="18"/>
                <w:lang w:val="en-US" w:eastAsia="zh-CN"/>
              </w:rPr>
              <w:t>8</w:t>
            </w:r>
          </w:p>
        </w:tc>
      </w:tr>
      <w:tr w14:paraId="5D49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500" w:type="pct"/>
            <w:tcBorders>
              <w:top w:val="single" w:color="auto" w:sz="4" w:space="0"/>
              <w:left w:val="single" w:color="auto" w:sz="4" w:space="0"/>
              <w:bottom w:val="single" w:color="auto" w:sz="4" w:space="0"/>
              <w:right w:val="single" w:color="auto" w:sz="4" w:space="0"/>
            </w:tcBorders>
            <w:vAlign w:val="center"/>
          </w:tcPr>
          <w:p w14:paraId="7083BB61">
            <w:pPr>
              <w:keepNext w:val="0"/>
              <w:keepLines w:val="0"/>
              <w:widowControl/>
              <w:suppressLineNumbers w:val="0"/>
              <w:jc w:val="both"/>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秦勇</w:t>
            </w:r>
          </w:p>
        </w:tc>
        <w:tc>
          <w:tcPr>
            <w:tcW w:w="879" w:type="pct"/>
            <w:tcBorders>
              <w:top w:val="single" w:color="auto" w:sz="4" w:space="0"/>
              <w:left w:val="single" w:color="auto" w:sz="4" w:space="0"/>
              <w:bottom w:val="single" w:color="auto" w:sz="4" w:space="0"/>
              <w:right w:val="single" w:color="auto" w:sz="4" w:space="0"/>
            </w:tcBorders>
            <w:vAlign w:val="center"/>
          </w:tcPr>
          <w:p w14:paraId="56254CB1">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 3,607,844 </w:t>
            </w:r>
          </w:p>
        </w:tc>
        <w:tc>
          <w:tcPr>
            <w:tcW w:w="548" w:type="pct"/>
            <w:tcBorders>
              <w:top w:val="single" w:color="auto" w:sz="4" w:space="0"/>
              <w:left w:val="single" w:color="auto" w:sz="4" w:space="0"/>
              <w:bottom w:val="single" w:color="auto" w:sz="4" w:space="0"/>
              <w:right w:val="single" w:color="auto" w:sz="4" w:space="0"/>
            </w:tcBorders>
            <w:vAlign w:val="center"/>
          </w:tcPr>
          <w:p w14:paraId="31B76B60">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1.09%</w:t>
            </w:r>
          </w:p>
        </w:tc>
        <w:tc>
          <w:tcPr>
            <w:tcW w:w="757" w:type="pct"/>
            <w:tcBorders>
              <w:top w:val="single" w:color="auto" w:sz="4" w:space="0"/>
              <w:left w:val="single" w:color="auto" w:sz="4" w:space="0"/>
              <w:bottom w:val="single" w:color="auto" w:sz="4" w:space="0"/>
              <w:right w:val="single" w:color="auto" w:sz="4" w:space="0"/>
            </w:tcBorders>
            <w:vAlign w:val="center"/>
          </w:tcPr>
          <w:p w14:paraId="03B0FF53">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 3,100,044 </w:t>
            </w:r>
          </w:p>
        </w:tc>
        <w:tc>
          <w:tcPr>
            <w:tcW w:w="564" w:type="pct"/>
            <w:tcBorders>
              <w:top w:val="single" w:color="auto" w:sz="4" w:space="0"/>
              <w:left w:val="single" w:color="auto" w:sz="4" w:space="0"/>
              <w:bottom w:val="single" w:color="auto" w:sz="4" w:space="0"/>
              <w:right w:val="single" w:color="auto" w:sz="4" w:space="0"/>
            </w:tcBorders>
            <w:vAlign w:val="center"/>
          </w:tcPr>
          <w:p w14:paraId="7ACA7C53">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0.93%</w:t>
            </w:r>
          </w:p>
        </w:tc>
        <w:tc>
          <w:tcPr>
            <w:tcW w:w="970" w:type="pct"/>
            <w:tcBorders>
              <w:left w:val="single" w:color="auto" w:sz="4" w:space="0"/>
              <w:right w:val="single" w:color="auto" w:sz="4" w:space="0"/>
            </w:tcBorders>
            <w:vAlign w:val="center"/>
          </w:tcPr>
          <w:p w14:paraId="5C7C410F">
            <w:pPr>
              <w:rPr>
                <w:rFonts w:asciiTheme="minorEastAsia" w:hAnsiTheme="minorEastAsia" w:cstheme="minorEastAsia"/>
                <w:sz w:val="18"/>
                <w:szCs w:val="18"/>
              </w:rPr>
            </w:pPr>
            <w:r>
              <w:rPr>
                <w:rFonts w:hint="eastAsia" w:asciiTheme="minorEastAsia" w:hAnsiTheme="minorEastAsia" w:cstheme="minorEastAsia"/>
                <w:sz w:val="18"/>
                <w:szCs w:val="18"/>
              </w:rPr>
              <w:t>集中竞价   ☑</w:t>
            </w:r>
          </w:p>
          <w:p w14:paraId="7BD174E3">
            <w:pPr>
              <w:rPr>
                <w:rFonts w:asciiTheme="minorEastAsia" w:hAnsiTheme="minorEastAsia" w:cstheme="minorEastAsia"/>
                <w:sz w:val="18"/>
                <w:szCs w:val="18"/>
              </w:rPr>
            </w:pPr>
            <w:r>
              <w:rPr>
                <w:rFonts w:hint="eastAsia" w:asciiTheme="minorEastAsia" w:hAnsiTheme="minorEastAsia" w:cstheme="minorEastAsia"/>
                <w:sz w:val="18"/>
                <w:szCs w:val="18"/>
              </w:rPr>
              <w:t>大宗交易   ☑</w:t>
            </w:r>
          </w:p>
          <w:p w14:paraId="177AB825">
            <w:pPr>
              <w:rPr>
                <w:rFonts w:asciiTheme="minorEastAsia" w:hAnsiTheme="minorEastAsia" w:cstheme="minorEastAsia"/>
                <w:sz w:val="18"/>
                <w:szCs w:val="18"/>
              </w:rPr>
            </w:pPr>
            <w:r>
              <w:rPr>
                <w:rFonts w:hint="eastAsia" w:asciiTheme="minorEastAsia" w:hAnsiTheme="minorEastAsia" w:cstheme="minorEastAsia"/>
                <w:sz w:val="18"/>
                <w:szCs w:val="18"/>
              </w:rPr>
              <w:t>其他：____</w:t>
            </w:r>
          </w:p>
        </w:tc>
        <w:tc>
          <w:tcPr>
            <w:tcW w:w="778" w:type="pct"/>
            <w:tcBorders>
              <w:left w:val="single" w:color="auto" w:sz="4" w:space="0"/>
              <w:right w:val="single" w:color="auto" w:sz="4" w:space="0"/>
            </w:tcBorders>
            <w:shd w:val="clear" w:color="auto" w:fill="auto"/>
            <w:vAlign w:val="center"/>
          </w:tcPr>
          <w:p w14:paraId="19528D2A">
            <w:pPr>
              <w:rPr>
                <w:rFonts w:asciiTheme="minorEastAsia" w:hAnsiTheme="minorEastAsia" w:cstheme="minorEastAsia"/>
                <w:sz w:val="18"/>
                <w:szCs w:val="18"/>
              </w:rPr>
            </w:pPr>
            <w:r>
              <w:rPr>
                <w:rFonts w:hint="eastAsia" w:asciiTheme="minorEastAsia" w:hAnsiTheme="minorEastAsia" w:cstheme="minorEastAsia"/>
                <w:sz w:val="18"/>
                <w:szCs w:val="18"/>
              </w:rPr>
              <w:t>2025/07/</w:t>
            </w:r>
            <w:r>
              <w:rPr>
                <w:rFonts w:hint="eastAsia" w:asciiTheme="minorEastAsia" w:hAnsiTheme="minorEastAsia" w:cstheme="minorEastAsia"/>
                <w:sz w:val="18"/>
                <w:szCs w:val="18"/>
                <w:lang w:val="en-US" w:eastAsia="zh-CN"/>
              </w:rPr>
              <w:t>24</w:t>
            </w:r>
            <w:r>
              <w:rPr>
                <w:rFonts w:hint="eastAsia" w:asciiTheme="minorEastAsia" w:hAnsiTheme="minorEastAsia" w:cstheme="minorEastAsia"/>
                <w:sz w:val="18"/>
                <w:szCs w:val="18"/>
              </w:rPr>
              <w:t>- 2025/07/2</w:t>
            </w:r>
            <w:r>
              <w:rPr>
                <w:rFonts w:hint="eastAsia" w:asciiTheme="minorEastAsia" w:hAnsiTheme="minorEastAsia" w:cstheme="minorEastAsia"/>
                <w:sz w:val="18"/>
                <w:szCs w:val="18"/>
                <w:lang w:val="en-US" w:eastAsia="zh-CN"/>
              </w:rPr>
              <w:t>8</w:t>
            </w:r>
          </w:p>
        </w:tc>
      </w:tr>
      <w:tr w14:paraId="4CC6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500" w:type="pct"/>
            <w:tcBorders>
              <w:top w:val="single" w:color="auto" w:sz="4" w:space="0"/>
              <w:left w:val="single" w:color="auto" w:sz="4" w:space="0"/>
              <w:bottom w:val="single" w:color="auto" w:sz="4" w:space="0"/>
              <w:right w:val="single" w:color="auto" w:sz="4" w:space="0"/>
            </w:tcBorders>
            <w:vAlign w:val="center"/>
          </w:tcPr>
          <w:p w14:paraId="4B29CE93">
            <w:pPr>
              <w:keepNext w:val="0"/>
              <w:keepLines w:val="0"/>
              <w:widowControl/>
              <w:suppressLineNumbers w:val="0"/>
              <w:jc w:val="both"/>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杨小林</w:t>
            </w:r>
          </w:p>
        </w:tc>
        <w:tc>
          <w:tcPr>
            <w:tcW w:w="879" w:type="pct"/>
            <w:tcBorders>
              <w:top w:val="single" w:color="auto" w:sz="4" w:space="0"/>
              <w:left w:val="single" w:color="auto" w:sz="4" w:space="0"/>
              <w:bottom w:val="single" w:color="auto" w:sz="4" w:space="0"/>
              <w:right w:val="single" w:color="auto" w:sz="4" w:space="0"/>
            </w:tcBorders>
            <w:vAlign w:val="center"/>
          </w:tcPr>
          <w:p w14:paraId="205729DD">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 819,900 </w:t>
            </w:r>
          </w:p>
        </w:tc>
        <w:tc>
          <w:tcPr>
            <w:tcW w:w="548" w:type="pct"/>
            <w:tcBorders>
              <w:top w:val="single" w:color="auto" w:sz="4" w:space="0"/>
              <w:left w:val="single" w:color="auto" w:sz="4" w:space="0"/>
              <w:bottom w:val="single" w:color="auto" w:sz="4" w:space="0"/>
              <w:right w:val="single" w:color="auto" w:sz="4" w:space="0"/>
            </w:tcBorders>
            <w:vAlign w:val="center"/>
          </w:tcPr>
          <w:p w14:paraId="41A8629B">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0.25%</w:t>
            </w:r>
          </w:p>
        </w:tc>
        <w:tc>
          <w:tcPr>
            <w:tcW w:w="757" w:type="pct"/>
            <w:tcBorders>
              <w:top w:val="single" w:color="auto" w:sz="4" w:space="0"/>
              <w:left w:val="single" w:color="auto" w:sz="4" w:space="0"/>
              <w:bottom w:val="single" w:color="auto" w:sz="4" w:space="0"/>
              <w:right w:val="single" w:color="auto" w:sz="4" w:space="0"/>
            </w:tcBorders>
            <w:vAlign w:val="center"/>
          </w:tcPr>
          <w:p w14:paraId="61A1A206">
            <w:pPr>
              <w:keepNext w:val="0"/>
              <w:keepLines w:val="0"/>
              <w:widowControl/>
              <w:suppressLineNumbers w:val="0"/>
              <w:jc w:val="center"/>
              <w:textAlignment w:val="center"/>
              <w:rPr>
                <w:rFonts w:hint="default" w:asciiTheme="minorEastAsia" w:hAnsiTheme="minorEastAsia" w:cstheme="minorEastAsia"/>
                <w:sz w:val="18"/>
                <w:szCs w:val="18"/>
                <w:lang w:val="en-US"/>
              </w:rPr>
            </w:pPr>
            <w:r>
              <w:rPr>
                <w:rFonts w:hint="eastAsia" w:ascii="宋体" w:hAnsi="宋体" w:eastAsia="宋体" w:cs="宋体"/>
                <w:i w:val="0"/>
                <w:iCs w:val="0"/>
                <w:color w:val="000000"/>
                <w:kern w:val="0"/>
                <w:sz w:val="18"/>
                <w:szCs w:val="18"/>
                <w:u w:val="none"/>
                <w:lang w:val="en-US" w:eastAsia="zh-CN" w:bidi="ar"/>
              </w:rPr>
              <w:t xml:space="preserve"> 622,200 </w:t>
            </w:r>
          </w:p>
        </w:tc>
        <w:tc>
          <w:tcPr>
            <w:tcW w:w="564" w:type="pct"/>
            <w:tcBorders>
              <w:top w:val="single" w:color="auto" w:sz="4" w:space="0"/>
              <w:left w:val="single" w:color="auto" w:sz="4" w:space="0"/>
              <w:bottom w:val="single" w:color="auto" w:sz="4" w:space="0"/>
              <w:right w:val="single" w:color="auto" w:sz="4" w:space="0"/>
            </w:tcBorders>
            <w:vAlign w:val="center"/>
          </w:tcPr>
          <w:p w14:paraId="66493B83">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0.19%</w:t>
            </w:r>
          </w:p>
        </w:tc>
        <w:tc>
          <w:tcPr>
            <w:tcW w:w="970" w:type="pct"/>
            <w:tcBorders>
              <w:left w:val="single" w:color="auto" w:sz="4" w:space="0"/>
              <w:right w:val="single" w:color="auto" w:sz="4" w:space="0"/>
            </w:tcBorders>
            <w:vAlign w:val="center"/>
          </w:tcPr>
          <w:p w14:paraId="1F91866D">
            <w:pPr>
              <w:rPr>
                <w:rFonts w:asciiTheme="minorEastAsia" w:hAnsiTheme="minorEastAsia" w:cstheme="minorEastAsia"/>
                <w:sz w:val="18"/>
                <w:szCs w:val="18"/>
              </w:rPr>
            </w:pPr>
            <w:r>
              <w:rPr>
                <w:rFonts w:hint="eastAsia" w:asciiTheme="minorEastAsia" w:hAnsiTheme="minorEastAsia" w:cstheme="minorEastAsia"/>
                <w:sz w:val="18"/>
                <w:szCs w:val="18"/>
              </w:rPr>
              <w:t>集中竞价   ☑</w:t>
            </w:r>
          </w:p>
          <w:p w14:paraId="09A288FF">
            <w:pPr>
              <w:rPr>
                <w:rFonts w:asciiTheme="minorEastAsia" w:hAnsiTheme="minorEastAsia" w:cstheme="minorEastAsia"/>
                <w:sz w:val="18"/>
                <w:szCs w:val="18"/>
              </w:rPr>
            </w:pPr>
            <w:r>
              <w:rPr>
                <w:rFonts w:hint="eastAsia" w:asciiTheme="minorEastAsia" w:hAnsiTheme="minorEastAsia" w:cstheme="minorEastAsia"/>
                <w:sz w:val="18"/>
                <w:szCs w:val="18"/>
              </w:rPr>
              <w:t>大宗交易   □</w:t>
            </w:r>
          </w:p>
          <w:p w14:paraId="6102D369">
            <w:pPr>
              <w:rPr>
                <w:rFonts w:asciiTheme="minorEastAsia" w:hAnsiTheme="minorEastAsia" w:cstheme="minorEastAsia"/>
                <w:sz w:val="18"/>
                <w:szCs w:val="18"/>
              </w:rPr>
            </w:pPr>
            <w:r>
              <w:rPr>
                <w:rFonts w:hint="eastAsia" w:asciiTheme="minorEastAsia" w:hAnsiTheme="minorEastAsia" w:cstheme="minorEastAsia"/>
                <w:sz w:val="18"/>
                <w:szCs w:val="18"/>
              </w:rPr>
              <w:t>其他：____</w:t>
            </w:r>
          </w:p>
        </w:tc>
        <w:tc>
          <w:tcPr>
            <w:tcW w:w="778" w:type="pct"/>
            <w:tcBorders>
              <w:left w:val="single" w:color="auto" w:sz="4" w:space="0"/>
              <w:right w:val="single" w:color="auto" w:sz="4" w:space="0"/>
            </w:tcBorders>
            <w:shd w:val="clear" w:color="auto" w:fill="auto"/>
            <w:vAlign w:val="center"/>
          </w:tcPr>
          <w:p w14:paraId="6527195F">
            <w:pP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rPr>
              <w:t>2025/07/</w:t>
            </w:r>
            <w:r>
              <w:rPr>
                <w:rFonts w:hint="eastAsia" w:asciiTheme="minorEastAsia" w:hAnsiTheme="minorEastAsia" w:cstheme="minorEastAsia"/>
                <w:sz w:val="18"/>
                <w:szCs w:val="18"/>
                <w:lang w:val="en-US" w:eastAsia="zh-CN"/>
              </w:rPr>
              <w:t>25</w:t>
            </w:r>
          </w:p>
        </w:tc>
      </w:tr>
      <w:tr w14:paraId="1DB8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00" w:type="pct"/>
            <w:tcBorders>
              <w:top w:val="single" w:color="auto" w:sz="4" w:space="0"/>
              <w:left w:val="single" w:color="auto" w:sz="4" w:space="0"/>
              <w:bottom w:val="single" w:color="auto" w:sz="4" w:space="0"/>
              <w:right w:val="single" w:color="auto" w:sz="4" w:space="0"/>
            </w:tcBorders>
            <w:vAlign w:val="center"/>
          </w:tcPr>
          <w:p w14:paraId="71291767">
            <w:pPr>
              <w:keepNext w:val="0"/>
              <w:keepLines w:val="0"/>
              <w:widowControl/>
              <w:suppressLineNumbers w:val="0"/>
              <w:jc w:val="center"/>
              <w:textAlignment w:val="center"/>
              <w:rPr>
                <w:rFonts w:asciiTheme="minorEastAsia" w:hAnsiTheme="minorEastAsia" w:cstheme="minorEastAsia"/>
                <w:b/>
                <w:bCs/>
                <w:sz w:val="18"/>
                <w:szCs w:val="18"/>
              </w:rPr>
            </w:pPr>
            <w:r>
              <w:rPr>
                <w:rFonts w:hint="eastAsia" w:ascii="宋体" w:hAnsi="宋体" w:eastAsia="宋体" w:cs="宋体"/>
                <w:i w:val="0"/>
                <w:iCs w:val="0"/>
                <w:color w:val="000000"/>
                <w:kern w:val="0"/>
                <w:sz w:val="18"/>
                <w:szCs w:val="18"/>
                <w:u w:val="none"/>
                <w:lang w:val="en-US" w:eastAsia="zh-CN" w:bidi="ar"/>
              </w:rPr>
              <w:t>合计</w:t>
            </w:r>
          </w:p>
        </w:tc>
        <w:tc>
          <w:tcPr>
            <w:tcW w:w="879" w:type="pct"/>
            <w:tcBorders>
              <w:top w:val="single" w:color="auto" w:sz="4" w:space="0"/>
              <w:left w:val="single" w:color="auto" w:sz="4" w:space="0"/>
              <w:bottom w:val="single" w:color="auto" w:sz="4" w:space="0"/>
              <w:right w:val="single" w:color="auto" w:sz="4" w:space="0"/>
            </w:tcBorders>
            <w:vAlign w:val="center"/>
          </w:tcPr>
          <w:p w14:paraId="4D784228">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11,495,744</w:t>
            </w:r>
          </w:p>
        </w:tc>
        <w:tc>
          <w:tcPr>
            <w:tcW w:w="548" w:type="pct"/>
            <w:tcBorders>
              <w:top w:val="single" w:color="auto" w:sz="4" w:space="0"/>
              <w:left w:val="single" w:color="auto" w:sz="4" w:space="0"/>
              <w:bottom w:val="single" w:color="auto" w:sz="4" w:space="0"/>
              <w:right w:val="single" w:color="auto" w:sz="4" w:space="0"/>
            </w:tcBorders>
            <w:vAlign w:val="center"/>
          </w:tcPr>
          <w:p w14:paraId="04AF8BC4">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3.46%</w:t>
            </w:r>
          </w:p>
        </w:tc>
        <w:tc>
          <w:tcPr>
            <w:tcW w:w="757" w:type="pct"/>
            <w:tcBorders>
              <w:top w:val="single" w:color="auto" w:sz="4" w:space="0"/>
              <w:left w:val="single" w:color="auto" w:sz="4" w:space="0"/>
              <w:bottom w:val="single" w:color="auto" w:sz="4" w:space="0"/>
              <w:right w:val="single" w:color="auto" w:sz="4" w:space="0"/>
            </w:tcBorders>
            <w:vAlign w:val="center"/>
          </w:tcPr>
          <w:p w14:paraId="2F858EFF">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 8,181,688 </w:t>
            </w:r>
          </w:p>
        </w:tc>
        <w:tc>
          <w:tcPr>
            <w:tcW w:w="564" w:type="pct"/>
            <w:tcBorders>
              <w:top w:val="single" w:color="auto" w:sz="4" w:space="0"/>
              <w:left w:val="single" w:color="auto" w:sz="4" w:space="0"/>
              <w:bottom w:val="single" w:color="auto" w:sz="4" w:space="0"/>
              <w:right w:val="single" w:color="auto" w:sz="4" w:space="0"/>
            </w:tcBorders>
            <w:vAlign w:val="center"/>
          </w:tcPr>
          <w:p w14:paraId="4EB47483">
            <w:pPr>
              <w:keepNext w:val="0"/>
              <w:keepLines w:val="0"/>
              <w:widowControl/>
              <w:suppressLineNumbers w:val="0"/>
              <w:jc w:val="center"/>
              <w:textAlignment w:val="center"/>
              <w:rPr>
                <w:rFonts w:asciiTheme="minorEastAsia" w:hAnsiTheme="minorEastAsia" w:cstheme="minorEastAsia"/>
                <w:sz w:val="18"/>
                <w:szCs w:val="18"/>
              </w:rPr>
            </w:pPr>
            <w:r>
              <w:rPr>
                <w:rFonts w:hint="eastAsia" w:ascii="宋体" w:hAnsi="宋体" w:eastAsia="宋体" w:cs="宋体"/>
                <w:i w:val="0"/>
                <w:iCs w:val="0"/>
                <w:color w:val="000000"/>
                <w:kern w:val="0"/>
                <w:sz w:val="18"/>
                <w:szCs w:val="18"/>
                <w:u w:val="none"/>
                <w:lang w:val="en-US" w:eastAsia="zh-CN" w:bidi="ar"/>
              </w:rPr>
              <w:t>2.46%</w:t>
            </w:r>
          </w:p>
        </w:tc>
        <w:tc>
          <w:tcPr>
            <w:tcW w:w="970" w:type="pct"/>
            <w:tcBorders>
              <w:left w:val="single" w:color="auto" w:sz="4" w:space="0"/>
              <w:bottom w:val="single" w:color="auto" w:sz="4" w:space="0"/>
              <w:right w:val="single" w:color="auto" w:sz="4" w:space="0"/>
            </w:tcBorders>
            <w:vAlign w:val="center"/>
          </w:tcPr>
          <w:p w14:paraId="29A1C50A">
            <w:pPr>
              <w:jc w:val="center"/>
              <w:rPr>
                <w:rFonts w:asciiTheme="minorEastAsia" w:hAnsiTheme="minorEastAsia" w:cstheme="minorEastAsia"/>
                <w:sz w:val="18"/>
                <w:szCs w:val="18"/>
              </w:rPr>
            </w:pPr>
            <w:r>
              <w:rPr>
                <w:rFonts w:hint="eastAsia" w:asciiTheme="minorEastAsia" w:hAnsiTheme="minorEastAsia" w:cstheme="minorEastAsia"/>
                <w:sz w:val="18"/>
                <w:szCs w:val="18"/>
              </w:rPr>
              <w:t>--</w:t>
            </w:r>
          </w:p>
        </w:tc>
        <w:tc>
          <w:tcPr>
            <w:tcW w:w="778" w:type="pct"/>
            <w:tcBorders>
              <w:left w:val="single" w:color="auto" w:sz="4" w:space="0"/>
              <w:bottom w:val="single" w:color="auto" w:sz="4" w:space="0"/>
              <w:right w:val="single" w:color="auto" w:sz="4" w:space="0"/>
            </w:tcBorders>
            <w:shd w:val="clear" w:color="auto" w:fill="auto"/>
            <w:vAlign w:val="center"/>
          </w:tcPr>
          <w:p w14:paraId="3DB3F652">
            <w:pPr>
              <w:jc w:val="center"/>
              <w:rPr>
                <w:rFonts w:asciiTheme="minorEastAsia" w:hAnsiTheme="minorEastAsia" w:cstheme="minorEastAsia"/>
                <w:sz w:val="18"/>
                <w:szCs w:val="18"/>
              </w:rPr>
            </w:pPr>
            <w:r>
              <w:rPr>
                <w:rFonts w:hint="eastAsia" w:asciiTheme="minorEastAsia" w:hAnsiTheme="minorEastAsia" w:cstheme="minorEastAsia"/>
                <w:sz w:val="18"/>
                <w:szCs w:val="18"/>
              </w:rPr>
              <w:t>--</w:t>
            </w:r>
          </w:p>
        </w:tc>
      </w:tr>
    </w:tbl>
    <w:p w14:paraId="3ECE14F8">
      <w:pPr>
        <w:widowControl/>
        <w:adjustRightInd w:val="0"/>
        <w:snapToGrid w:val="0"/>
        <w:spacing w:line="560" w:lineRule="exact"/>
        <w:jc w:val="left"/>
        <w:outlineLvl w:val="0"/>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sz w:val="18"/>
          <w:szCs w:val="18"/>
        </w:rPr>
        <w:t>备注：</w:t>
      </w:r>
      <w:r>
        <w:rPr>
          <w:rFonts w:hint="eastAsia" w:asciiTheme="minorEastAsia" w:hAnsiTheme="minorEastAsia" w:cstheme="minorEastAsia"/>
          <w:sz w:val="18"/>
          <w:szCs w:val="18"/>
          <w:lang w:val="en-US" w:eastAsia="zh-CN"/>
        </w:rPr>
        <w:t>小数点尾差系四舍五入导致。</w:t>
      </w:r>
    </w:p>
    <w:p w14:paraId="5CD31001">
      <w:pPr>
        <w:widowControl/>
        <w:numPr>
          <w:ilvl w:val="0"/>
          <w:numId w:val="1"/>
        </w:numPr>
        <w:adjustRightInd w:val="0"/>
        <w:snapToGrid w:val="0"/>
        <w:spacing w:line="560" w:lineRule="exact"/>
        <w:ind w:left="0" w:firstLine="565" w:firstLineChars="201"/>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其他说明</w:t>
      </w:r>
    </w:p>
    <w:p w14:paraId="72CB6E1E">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1、本次权益变动为股东履行此前披露的减持计划，不触及要约收购，本次减持事项与股东此前已披露的计划、承诺一致。截至本公告披露日，本次减持股份计划尚未实施完毕。</w:t>
      </w:r>
    </w:p>
    <w:p w14:paraId="7DE7D6AC">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2、本次权益变动不会导致公司控股股东和实际控制人发生变化，不会对公司治理结构及持续经营产生重大影响。</w:t>
      </w:r>
    </w:p>
    <w:p w14:paraId="43A0EBDC">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3、本次权益变动不涉及信息披露义务人披露权益变动报告书，不存在违反《中华人民共和国证券法》《上市公司股东减持股份管理暂行办法》《上海证券交易所股票上市规则》《上海证券交易所上市公司自律监管指引第15号——股东及董事、高级管理人员减持股份》等法律法规和规范性文件规定的情形。</w:t>
      </w:r>
    </w:p>
    <w:p w14:paraId="66F00307">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4、本次权益变动后，信息披露义务人仍处于其减持计划实施期间，公司将持续关注减持计划的进展情况，并按照相关规定履行信息披露义务，敬请广大投资者注意投资风险。</w:t>
      </w:r>
    </w:p>
    <w:p w14:paraId="7324C445">
      <w:pPr>
        <w:widowControl/>
        <w:adjustRightInd w:val="0"/>
        <w:snapToGrid w:val="0"/>
        <w:spacing w:line="560" w:lineRule="exact"/>
        <w:ind w:firstLine="600"/>
        <w:jc w:val="left"/>
        <w:rPr>
          <w:rFonts w:asciiTheme="minorEastAsia" w:hAnsiTheme="minorEastAsia" w:cstheme="minorEastAsia"/>
          <w:sz w:val="30"/>
          <w:szCs w:val="30"/>
        </w:rPr>
      </w:pPr>
    </w:p>
    <w:p w14:paraId="2DF9D4CF">
      <w:pPr>
        <w:widowControl/>
        <w:adjustRightInd w:val="0"/>
        <w:snapToGrid w:val="0"/>
        <w:spacing w:line="560" w:lineRule="exact"/>
        <w:ind w:firstLine="600"/>
        <w:jc w:val="left"/>
        <w:rPr>
          <w:rFonts w:asciiTheme="minorEastAsia" w:hAnsiTheme="minorEastAsia" w:cstheme="minorEastAsia"/>
          <w:sz w:val="24"/>
          <w:szCs w:val="24"/>
        </w:rPr>
      </w:pPr>
      <w:r>
        <w:rPr>
          <w:rFonts w:hint="eastAsia" w:asciiTheme="minorEastAsia" w:hAnsiTheme="minorEastAsia" w:cstheme="minorEastAsia"/>
          <w:sz w:val="24"/>
          <w:szCs w:val="24"/>
        </w:rPr>
        <w:t>特此公告。</w:t>
      </w:r>
    </w:p>
    <w:p w14:paraId="45D22563">
      <w:pPr>
        <w:widowControl/>
        <w:spacing w:line="560" w:lineRule="exact"/>
        <w:jc w:val="right"/>
        <w:rPr>
          <w:rFonts w:asciiTheme="minorEastAsia" w:hAnsiTheme="minorEastAsia" w:cstheme="minorEastAsia"/>
          <w:sz w:val="24"/>
          <w:szCs w:val="24"/>
        </w:rPr>
      </w:pPr>
      <w:r>
        <w:rPr>
          <w:rFonts w:hint="eastAsia" w:asciiTheme="minorEastAsia" w:hAnsiTheme="minorEastAsia" w:cstheme="minorEastAsia"/>
          <w:sz w:val="24"/>
          <w:szCs w:val="24"/>
        </w:rPr>
        <w:t xml:space="preserve">重庆望变电气（集团）股份有限公司董事会                          </w:t>
      </w:r>
    </w:p>
    <w:p w14:paraId="1B588678">
      <w:pPr>
        <w:pStyle w:val="29"/>
        <w:adjustRightInd w:val="0"/>
        <w:snapToGrid w:val="0"/>
        <w:spacing w:line="560" w:lineRule="exact"/>
        <w:ind w:firstLine="480" w:firstLineChars="200"/>
        <w:jc w:val="right"/>
        <w:rPr>
          <w:rFonts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2025年7月</w:t>
      </w:r>
      <w:r>
        <w:rPr>
          <w:rFonts w:hint="eastAsia" w:asciiTheme="minorEastAsia" w:hAnsiTheme="minorEastAsia" w:eastAsiaTheme="minorEastAsia" w:cstheme="minorEastAsia"/>
          <w:color w:val="000000"/>
          <w:lang w:val="en-US" w:eastAsia="zh-CN"/>
        </w:rPr>
        <w:t>30</w:t>
      </w:r>
      <w:r>
        <w:rPr>
          <w:rFonts w:hint="eastAsia" w:asciiTheme="minorEastAsia" w:hAnsiTheme="minorEastAsia" w:eastAsiaTheme="minorEastAsia" w:cstheme="minorEastAsia"/>
          <w:color w:val="000000"/>
        </w:rPr>
        <w:t>日</w:t>
      </w:r>
    </w:p>
    <w:p w14:paraId="1DA4BFD9">
      <w:pPr>
        <w:pStyle w:val="29"/>
        <w:adjustRightInd w:val="0"/>
        <w:snapToGrid w:val="0"/>
        <w:spacing w:line="560" w:lineRule="exact"/>
        <w:ind w:firstLine="600" w:firstLineChars="200"/>
        <w:jc w:val="right"/>
        <w:rPr>
          <w:rFonts w:ascii="仿宋" w:hAnsi="仿宋" w:eastAsia="仿宋_GB2312"/>
          <w:color w:val="000000"/>
          <w:sz w:val="30"/>
          <w:szCs w:val="30"/>
        </w:rPr>
      </w:pPr>
    </w:p>
    <w:p w14:paraId="6F48FF5A">
      <w:pPr>
        <w:adjustRightInd w:val="0"/>
        <w:snapToGrid w:val="0"/>
        <w:spacing w:line="360" w:lineRule="auto"/>
        <w:jc w:val="right"/>
        <w:rPr>
          <w:rFonts w:asciiTheme="majorEastAsia" w:hAnsiTheme="majorEastAsia" w:eastAsiaTheme="majorEastAsia"/>
          <w:b/>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E41236"/>
    <w:multiLevelType w:val="singleLevel"/>
    <w:tmpl w:val="CEE41236"/>
    <w:lvl w:ilvl="0" w:tentative="0">
      <w:start w:val="1"/>
      <w:numFmt w:val="chineseCountingThousand"/>
      <w:lvlText w:val="%1、"/>
      <w:lvlJc w:val="left"/>
      <w:pPr>
        <w:ind w:left="440" w:hanging="440"/>
      </w:pPr>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8C5DB8"/>
    <w:rsid w:val="00004EF0"/>
    <w:rsid w:val="0000622B"/>
    <w:rsid w:val="00007894"/>
    <w:rsid w:val="00011B58"/>
    <w:rsid w:val="00011D6B"/>
    <w:rsid w:val="00011E7C"/>
    <w:rsid w:val="000134A9"/>
    <w:rsid w:val="00013C7A"/>
    <w:rsid w:val="000146D4"/>
    <w:rsid w:val="00014DAA"/>
    <w:rsid w:val="0001513D"/>
    <w:rsid w:val="00016A68"/>
    <w:rsid w:val="000209EB"/>
    <w:rsid w:val="00023FE2"/>
    <w:rsid w:val="00024791"/>
    <w:rsid w:val="00024B0F"/>
    <w:rsid w:val="000316A0"/>
    <w:rsid w:val="000316DE"/>
    <w:rsid w:val="000320FF"/>
    <w:rsid w:val="00036E39"/>
    <w:rsid w:val="000415E2"/>
    <w:rsid w:val="00041AFF"/>
    <w:rsid w:val="00041B70"/>
    <w:rsid w:val="0005296D"/>
    <w:rsid w:val="0005330F"/>
    <w:rsid w:val="000552DE"/>
    <w:rsid w:val="00055BB1"/>
    <w:rsid w:val="00055D12"/>
    <w:rsid w:val="0005649D"/>
    <w:rsid w:val="00057954"/>
    <w:rsid w:val="00057AAF"/>
    <w:rsid w:val="0006154D"/>
    <w:rsid w:val="000657A0"/>
    <w:rsid w:val="00071209"/>
    <w:rsid w:val="00071335"/>
    <w:rsid w:val="00071DCE"/>
    <w:rsid w:val="00071DFD"/>
    <w:rsid w:val="00071EFB"/>
    <w:rsid w:val="0007584E"/>
    <w:rsid w:val="0007700C"/>
    <w:rsid w:val="000843BF"/>
    <w:rsid w:val="000847A8"/>
    <w:rsid w:val="0008599D"/>
    <w:rsid w:val="0008617F"/>
    <w:rsid w:val="00091B04"/>
    <w:rsid w:val="00091E1F"/>
    <w:rsid w:val="00093A5E"/>
    <w:rsid w:val="00094CDA"/>
    <w:rsid w:val="00095035"/>
    <w:rsid w:val="0009529B"/>
    <w:rsid w:val="0009688B"/>
    <w:rsid w:val="00097314"/>
    <w:rsid w:val="000A0447"/>
    <w:rsid w:val="000A0B83"/>
    <w:rsid w:val="000A0BA2"/>
    <w:rsid w:val="000A2CC0"/>
    <w:rsid w:val="000A2F81"/>
    <w:rsid w:val="000A5346"/>
    <w:rsid w:val="000A581B"/>
    <w:rsid w:val="000A7677"/>
    <w:rsid w:val="000A777E"/>
    <w:rsid w:val="000A779D"/>
    <w:rsid w:val="000B1C0F"/>
    <w:rsid w:val="000B26F4"/>
    <w:rsid w:val="000B5402"/>
    <w:rsid w:val="000B61DD"/>
    <w:rsid w:val="000B6EFB"/>
    <w:rsid w:val="000C126A"/>
    <w:rsid w:val="000C1CD5"/>
    <w:rsid w:val="000C26F1"/>
    <w:rsid w:val="000C2BA7"/>
    <w:rsid w:val="000C4D9C"/>
    <w:rsid w:val="000C4F6E"/>
    <w:rsid w:val="000D00E5"/>
    <w:rsid w:val="000D0554"/>
    <w:rsid w:val="000D408E"/>
    <w:rsid w:val="000D4135"/>
    <w:rsid w:val="000D46D2"/>
    <w:rsid w:val="000D70E1"/>
    <w:rsid w:val="000D71C2"/>
    <w:rsid w:val="000E2BD7"/>
    <w:rsid w:val="000E4C4B"/>
    <w:rsid w:val="000E5CEE"/>
    <w:rsid w:val="000E5D69"/>
    <w:rsid w:val="000E65BF"/>
    <w:rsid w:val="000F2FE3"/>
    <w:rsid w:val="000F32A6"/>
    <w:rsid w:val="000F39F7"/>
    <w:rsid w:val="000F4243"/>
    <w:rsid w:val="00102EE0"/>
    <w:rsid w:val="00105374"/>
    <w:rsid w:val="00110400"/>
    <w:rsid w:val="00110C53"/>
    <w:rsid w:val="00110FD3"/>
    <w:rsid w:val="00111FD6"/>
    <w:rsid w:val="00117BC7"/>
    <w:rsid w:val="00120E15"/>
    <w:rsid w:val="00123A27"/>
    <w:rsid w:val="0013329D"/>
    <w:rsid w:val="001345D6"/>
    <w:rsid w:val="00135412"/>
    <w:rsid w:val="00136B4D"/>
    <w:rsid w:val="00142572"/>
    <w:rsid w:val="00142BE7"/>
    <w:rsid w:val="00144A2D"/>
    <w:rsid w:val="00145AE4"/>
    <w:rsid w:val="00146AE6"/>
    <w:rsid w:val="00147BA3"/>
    <w:rsid w:val="001509BD"/>
    <w:rsid w:val="001511F4"/>
    <w:rsid w:val="00154ECD"/>
    <w:rsid w:val="00154F63"/>
    <w:rsid w:val="001627BA"/>
    <w:rsid w:val="001635C5"/>
    <w:rsid w:val="001656ED"/>
    <w:rsid w:val="001745A0"/>
    <w:rsid w:val="00174FAC"/>
    <w:rsid w:val="001763D0"/>
    <w:rsid w:val="00183AD3"/>
    <w:rsid w:val="00186AC7"/>
    <w:rsid w:val="0019044B"/>
    <w:rsid w:val="00191AE4"/>
    <w:rsid w:val="00192312"/>
    <w:rsid w:val="00192FA9"/>
    <w:rsid w:val="001953C1"/>
    <w:rsid w:val="00196816"/>
    <w:rsid w:val="001A2E2D"/>
    <w:rsid w:val="001A3084"/>
    <w:rsid w:val="001A4B40"/>
    <w:rsid w:val="001A5AD2"/>
    <w:rsid w:val="001A6EA4"/>
    <w:rsid w:val="001B0753"/>
    <w:rsid w:val="001B0861"/>
    <w:rsid w:val="001B0FAE"/>
    <w:rsid w:val="001B11FC"/>
    <w:rsid w:val="001B3894"/>
    <w:rsid w:val="001B39F3"/>
    <w:rsid w:val="001C0B03"/>
    <w:rsid w:val="001C1F7E"/>
    <w:rsid w:val="001C2826"/>
    <w:rsid w:val="001C3E4D"/>
    <w:rsid w:val="001C3E6D"/>
    <w:rsid w:val="001C61C9"/>
    <w:rsid w:val="001C6DB0"/>
    <w:rsid w:val="001D05A4"/>
    <w:rsid w:val="001D157D"/>
    <w:rsid w:val="001D269D"/>
    <w:rsid w:val="001D5AFC"/>
    <w:rsid w:val="001D5BCD"/>
    <w:rsid w:val="001D6ABC"/>
    <w:rsid w:val="001E1D88"/>
    <w:rsid w:val="001E6D93"/>
    <w:rsid w:val="001E75C4"/>
    <w:rsid w:val="001F2083"/>
    <w:rsid w:val="001F422F"/>
    <w:rsid w:val="001F6B2B"/>
    <w:rsid w:val="00202534"/>
    <w:rsid w:val="002048A3"/>
    <w:rsid w:val="00206BC7"/>
    <w:rsid w:val="00207652"/>
    <w:rsid w:val="00207743"/>
    <w:rsid w:val="00213781"/>
    <w:rsid w:val="00214ACE"/>
    <w:rsid w:val="00215522"/>
    <w:rsid w:val="00215E68"/>
    <w:rsid w:val="00216775"/>
    <w:rsid w:val="002217D3"/>
    <w:rsid w:val="00224529"/>
    <w:rsid w:val="0022784F"/>
    <w:rsid w:val="00230F96"/>
    <w:rsid w:val="00231D36"/>
    <w:rsid w:val="0023362A"/>
    <w:rsid w:val="002370D9"/>
    <w:rsid w:val="002432E5"/>
    <w:rsid w:val="00244577"/>
    <w:rsid w:val="00250A64"/>
    <w:rsid w:val="00254100"/>
    <w:rsid w:val="00254558"/>
    <w:rsid w:val="0025534A"/>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5B1A"/>
    <w:rsid w:val="00296B71"/>
    <w:rsid w:val="002A2075"/>
    <w:rsid w:val="002A20B3"/>
    <w:rsid w:val="002A3368"/>
    <w:rsid w:val="002A40E8"/>
    <w:rsid w:val="002A5BD6"/>
    <w:rsid w:val="002A6062"/>
    <w:rsid w:val="002B03CC"/>
    <w:rsid w:val="002B0DEC"/>
    <w:rsid w:val="002B3462"/>
    <w:rsid w:val="002B7FB0"/>
    <w:rsid w:val="002C0A13"/>
    <w:rsid w:val="002C1998"/>
    <w:rsid w:val="002C4298"/>
    <w:rsid w:val="002C51A6"/>
    <w:rsid w:val="002C578E"/>
    <w:rsid w:val="002C73D0"/>
    <w:rsid w:val="002D11F5"/>
    <w:rsid w:val="002D1C0D"/>
    <w:rsid w:val="002D7A46"/>
    <w:rsid w:val="002E0F85"/>
    <w:rsid w:val="002E17BB"/>
    <w:rsid w:val="002E29D6"/>
    <w:rsid w:val="002E3CFE"/>
    <w:rsid w:val="002E5862"/>
    <w:rsid w:val="002E6FED"/>
    <w:rsid w:val="002F0218"/>
    <w:rsid w:val="002F4615"/>
    <w:rsid w:val="002F7887"/>
    <w:rsid w:val="00300E0C"/>
    <w:rsid w:val="003068DE"/>
    <w:rsid w:val="00306CA5"/>
    <w:rsid w:val="003071F3"/>
    <w:rsid w:val="00317BC2"/>
    <w:rsid w:val="003216A9"/>
    <w:rsid w:val="0032367F"/>
    <w:rsid w:val="00323A21"/>
    <w:rsid w:val="0032458D"/>
    <w:rsid w:val="003253F1"/>
    <w:rsid w:val="00325654"/>
    <w:rsid w:val="0032604F"/>
    <w:rsid w:val="00331C12"/>
    <w:rsid w:val="00335113"/>
    <w:rsid w:val="00337BE0"/>
    <w:rsid w:val="003402FE"/>
    <w:rsid w:val="003428F3"/>
    <w:rsid w:val="0034755D"/>
    <w:rsid w:val="00352FEF"/>
    <w:rsid w:val="0035344A"/>
    <w:rsid w:val="00353872"/>
    <w:rsid w:val="00355E1B"/>
    <w:rsid w:val="00356E10"/>
    <w:rsid w:val="00357EA0"/>
    <w:rsid w:val="00361700"/>
    <w:rsid w:val="003651DF"/>
    <w:rsid w:val="00366CCD"/>
    <w:rsid w:val="00367453"/>
    <w:rsid w:val="00370B90"/>
    <w:rsid w:val="00374A19"/>
    <w:rsid w:val="00375B9C"/>
    <w:rsid w:val="00376606"/>
    <w:rsid w:val="003766EF"/>
    <w:rsid w:val="0038232E"/>
    <w:rsid w:val="003843C8"/>
    <w:rsid w:val="0038738F"/>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5DF"/>
    <w:rsid w:val="003C16A8"/>
    <w:rsid w:val="003C6D08"/>
    <w:rsid w:val="003D0C6A"/>
    <w:rsid w:val="003D4895"/>
    <w:rsid w:val="003D508E"/>
    <w:rsid w:val="003E1749"/>
    <w:rsid w:val="003E2F2A"/>
    <w:rsid w:val="003E2F5B"/>
    <w:rsid w:val="003E4198"/>
    <w:rsid w:val="003E4F31"/>
    <w:rsid w:val="003E6330"/>
    <w:rsid w:val="003F333E"/>
    <w:rsid w:val="003F59BF"/>
    <w:rsid w:val="003F619C"/>
    <w:rsid w:val="003F651E"/>
    <w:rsid w:val="00404DF5"/>
    <w:rsid w:val="00405849"/>
    <w:rsid w:val="00405F2E"/>
    <w:rsid w:val="0040650F"/>
    <w:rsid w:val="004150E8"/>
    <w:rsid w:val="00423B5B"/>
    <w:rsid w:val="004240D4"/>
    <w:rsid w:val="00424E22"/>
    <w:rsid w:val="00425642"/>
    <w:rsid w:val="00426491"/>
    <w:rsid w:val="00426FB8"/>
    <w:rsid w:val="00427543"/>
    <w:rsid w:val="00430B69"/>
    <w:rsid w:val="0043754A"/>
    <w:rsid w:val="00437CE1"/>
    <w:rsid w:val="0044168F"/>
    <w:rsid w:val="00442A1B"/>
    <w:rsid w:val="00443A37"/>
    <w:rsid w:val="004443A8"/>
    <w:rsid w:val="00444D15"/>
    <w:rsid w:val="004452CF"/>
    <w:rsid w:val="004462D1"/>
    <w:rsid w:val="00447880"/>
    <w:rsid w:val="00452D11"/>
    <w:rsid w:val="0046022C"/>
    <w:rsid w:val="00460544"/>
    <w:rsid w:val="0046389B"/>
    <w:rsid w:val="004640B3"/>
    <w:rsid w:val="004677A9"/>
    <w:rsid w:val="004700D5"/>
    <w:rsid w:val="00471C18"/>
    <w:rsid w:val="00472CF3"/>
    <w:rsid w:val="004770E5"/>
    <w:rsid w:val="00482007"/>
    <w:rsid w:val="004824A9"/>
    <w:rsid w:val="0048261B"/>
    <w:rsid w:val="0048475F"/>
    <w:rsid w:val="00484A20"/>
    <w:rsid w:val="00484CD8"/>
    <w:rsid w:val="00490CC5"/>
    <w:rsid w:val="00491D85"/>
    <w:rsid w:val="004923D4"/>
    <w:rsid w:val="00493080"/>
    <w:rsid w:val="00496916"/>
    <w:rsid w:val="004A1747"/>
    <w:rsid w:val="004A1FDB"/>
    <w:rsid w:val="004A2D0E"/>
    <w:rsid w:val="004A330D"/>
    <w:rsid w:val="004A3F7D"/>
    <w:rsid w:val="004A4FC9"/>
    <w:rsid w:val="004A6E8A"/>
    <w:rsid w:val="004B1154"/>
    <w:rsid w:val="004B1C50"/>
    <w:rsid w:val="004B35E5"/>
    <w:rsid w:val="004B6EAD"/>
    <w:rsid w:val="004B72D1"/>
    <w:rsid w:val="004B735F"/>
    <w:rsid w:val="004B744D"/>
    <w:rsid w:val="004C2C49"/>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1184"/>
    <w:rsid w:val="00526671"/>
    <w:rsid w:val="00530B9D"/>
    <w:rsid w:val="00530BC3"/>
    <w:rsid w:val="0053277A"/>
    <w:rsid w:val="00533839"/>
    <w:rsid w:val="0053497E"/>
    <w:rsid w:val="00536579"/>
    <w:rsid w:val="00536BBF"/>
    <w:rsid w:val="00537CD7"/>
    <w:rsid w:val="00541D93"/>
    <w:rsid w:val="00543F21"/>
    <w:rsid w:val="00544318"/>
    <w:rsid w:val="005443EB"/>
    <w:rsid w:val="00545344"/>
    <w:rsid w:val="005465C2"/>
    <w:rsid w:val="00547C23"/>
    <w:rsid w:val="0055150E"/>
    <w:rsid w:val="005543F1"/>
    <w:rsid w:val="00554723"/>
    <w:rsid w:val="0055573D"/>
    <w:rsid w:val="00555DE5"/>
    <w:rsid w:val="0055628C"/>
    <w:rsid w:val="00560B7B"/>
    <w:rsid w:val="00561A5A"/>
    <w:rsid w:val="005633F3"/>
    <w:rsid w:val="005658C9"/>
    <w:rsid w:val="005755D1"/>
    <w:rsid w:val="00580A5C"/>
    <w:rsid w:val="0058191C"/>
    <w:rsid w:val="00581D6A"/>
    <w:rsid w:val="005876FC"/>
    <w:rsid w:val="0059056B"/>
    <w:rsid w:val="00591B49"/>
    <w:rsid w:val="0059356D"/>
    <w:rsid w:val="00594A91"/>
    <w:rsid w:val="005970A7"/>
    <w:rsid w:val="005A1457"/>
    <w:rsid w:val="005A1EDA"/>
    <w:rsid w:val="005A26F2"/>
    <w:rsid w:val="005A2FBD"/>
    <w:rsid w:val="005A53C1"/>
    <w:rsid w:val="005A5B25"/>
    <w:rsid w:val="005A5C2E"/>
    <w:rsid w:val="005B236C"/>
    <w:rsid w:val="005B4D00"/>
    <w:rsid w:val="005B4EB2"/>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5073"/>
    <w:rsid w:val="005F6043"/>
    <w:rsid w:val="00600477"/>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4C25"/>
    <w:rsid w:val="0064661F"/>
    <w:rsid w:val="0064773D"/>
    <w:rsid w:val="0064798C"/>
    <w:rsid w:val="00650B0F"/>
    <w:rsid w:val="00652AAD"/>
    <w:rsid w:val="00654590"/>
    <w:rsid w:val="00654F20"/>
    <w:rsid w:val="0065550D"/>
    <w:rsid w:val="006634E1"/>
    <w:rsid w:val="00666C4D"/>
    <w:rsid w:val="00674103"/>
    <w:rsid w:val="00674AEB"/>
    <w:rsid w:val="00675CB6"/>
    <w:rsid w:val="006775D3"/>
    <w:rsid w:val="006800B3"/>
    <w:rsid w:val="00681310"/>
    <w:rsid w:val="00681474"/>
    <w:rsid w:val="00681F63"/>
    <w:rsid w:val="00686268"/>
    <w:rsid w:val="00692118"/>
    <w:rsid w:val="00692532"/>
    <w:rsid w:val="00695C7D"/>
    <w:rsid w:val="0069742F"/>
    <w:rsid w:val="006A0A03"/>
    <w:rsid w:val="006A2470"/>
    <w:rsid w:val="006A2D38"/>
    <w:rsid w:val="006A7E6C"/>
    <w:rsid w:val="006B3409"/>
    <w:rsid w:val="006B56A9"/>
    <w:rsid w:val="006B5AA8"/>
    <w:rsid w:val="006B6815"/>
    <w:rsid w:val="006C1BEB"/>
    <w:rsid w:val="006C3189"/>
    <w:rsid w:val="006C6684"/>
    <w:rsid w:val="006C6BCF"/>
    <w:rsid w:val="006C6E81"/>
    <w:rsid w:val="006D219E"/>
    <w:rsid w:val="006D26B5"/>
    <w:rsid w:val="006D2DEE"/>
    <w:rsid w:val="006D420A"/>
    <w:rsid w:val="006D553C"/>
    <w:rsid w:val="006D6908"/>
    <w:rsid w:val="006D6B22"/>
    <w:rsid w:val="006E4344"/>
    <w:rsid w:val="006E5D45"/>
    <w:rsid w:val="006E6123"/>
    <w:rsid w:val="006E6358"/>
    <w:rsid w:val="006F42F8"/>
    <w:rsid w:val="006F53B5"/>
    <w:rsid w:val="006F6D69"/>
    <w:rsid w:val="006F7462"/>
    <w:rsid w:val="00700132"/>
    <w:rsid w:val="00702F53"/>
    <w:rsid w:val="00703E29"/>
    <w:rsid w:val="0070411A"/>
    <w:rsid w:val="00704EED"/>
    <w:rsid w:val="0070522C"/>
    <w:rsid w:val="00707527"/>
    <w:rsid w:val="0071102F"/>
    <w:rsid w:val="00713304"/>
    <w:rsid w:val="007138A7"/>
    <w:rsid w:val="007138E6"/>
    <w:rsid w:val="00715DED"/>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4B52"/>
    <w:rsid w:val="00765194"/>
    <w:rsid w:val="007664EE"/>
    <w:rsid w:val="00766608"/>
    <w:rsid w:val="007672B9"/>
    <w:rsid w:val="0077016A"/>
    <w:rsid w:val="007755A3"/>
    <w:rsid w:val="00783EEA"/>
    <w:rsid w:val="00783FAF"/>
    <w:rsid w:val="00792C7B"/>
    <w:rsid w:val="007951BF"/>
    <w:rsid w:val="0079698F"/>
    <w:rsid w:val="007A1462"/>
    <w:rsid w:val="007A1EA2"/>
    <w:rsid w:val="007A4620"/>
    <w:rsid w:val="007A4CF8"/>
    <w:rsid w:val="007A580E"/>
    <w:rsid w:val="007A5EEB"/>
    <w:rsid w:val="007A63DB"/>
    <w:rsid w:val="007B0851"/>
    <w:rsid w:val="007B11DD"/>
    <w:rsid w:val="007B1BBD"/>
    <w:rsid w:val="007B2222"/>
    <w:rsid w:val="007B36D1"/>
    <w:rsid w:val="007B40F7"/>
    <w:rsid w:val="007B54AA"/>
    <w:rsid w:val="007C0558"/>
    <w:rsid w:val="007C13F2"/>
    <w:rsid w:val="007C270D"/>
    <w:rsid w:val="007C28AA"/>
    <w:rsid w:val="007C2908"/>
    <w:rsid w:val="007C3027"/>
    <w:rsid w:val="007C4C7C"/>
    <w:rsid w:val="007C4D82"/>
    <w:rsid w:val="007C5260"/>
    <w:rsid w:val="007D43E7"/>
    <w:rsid w:val="007D6893"/>
    <w:rsid w:val="007E01D7"/>
    <w:rsid w:val="007E26F1"/>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E59"/>
    <w:rsid w:val="008073A7"/>
    <w:rsid w:val="00807B57"/>
    <w:rsid w:val="00810BF8"/>
    <w:rsid w:val="00813917"/>
    <w:rsid w:val="00813F09"/>
    <w:rsid w:val="00814CAB"/>
    <w:rsid w:val="0081586E"/>
    <w:rsid w:val="00816032"/>
    <w:rsid w:val="008169A3"/>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5F95"/>
    <w:rsid w:val="0087074B"/>
    <w:rsid w:val="00871507"/>
    <w:rsid w:val="0087601E"/>
    <w:rsid w:val="00876218"/>
    <w:rsid w:val="00876CAD"/>
    <w:rsid w:val="008804AB"/>
    <w:rsid w:val="00882C4D"/>
    <w:rsid w:val="0088305F"/>
    <w:rsid w:val="00885291"/>
    <w:rsid w:val="0088596B"/>
    <w:rsid w:val="00895C85"/>
    <w:rsid w:val="00895E83"/>
    <w:rsid w:val="008A2795"/>
    <w:rsid w:val="008A2A43"/>
    <w:rsid w:val="008A402C"/>
    <w:rsid w:val="008A5DB4"/>
    <w:rsid w:val="008A5F7E"/>
    <w:rsid w:val="008A6969"/>
    <w:rsid w:val="008A7D7C"/>
    <w:rsid w:val="008B379F"/>
    <w:rsid w:val="008B3809"/>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4E4D"/>
    <w:rsid w:val="00913296"/>
    <w:rsid w:val="009154D9"/>
    <w:rsid w:val="00916FD9"/>
    <w:rsid w:val="009178E3"/>
    <w:rsid w:val="00926436"/>
    <w:rsid w:val="009278A1"/>
    <w:rsid w:val="00927CC9"/>
    <w:rsid w:val="00930785"/>
    <w:rsid w:val="00930E04"/>
    <w:rsid w:val="00931325"/>
    <w:rsid w:val="0093179D"/>
    <w:rsid w:val="00932D84"/>
    <w:rsid w:val="00933ABB"/>
    <w:rsid w:val="00933BFC"/>
    <w:rsid w:val="00941234"/>
    <w:rsid w:val="0094186D"/>
    <w:rsid w:val="009422FF"/>
    <w:rsid w:val="00942575"/>
    <w:rsid w:val="0094357B"/>
    <w:rsid w:val="00945D56"/>
    <w:rsid w:val="00946D24"/>
    <w:rsid w:val="00947D80"/>
    <w:rsid w:val="00947FFA"/>
    <w:rsid w:val="00950AAF"/>
    <w:rsid w:val="00951D84"/>
    <w:rsid w:val="009540D5"/>
    <w:rsid w:val="0095546D"/>
    <w:rsid w:val="00955841"/>
    <w:rsid w:val="0095624A"/>
    <w:rsid w:val="00961884"/>
    <w:rsid w:val="009628E8"/>
    <w:rsid w:val="00966207"/>
    <w:rsid w:val="00966C93"/>
    <w:rsid w:val="00966D57"/>
    <w:rsid w:val="00967711"/>
    <w:rsid w:val="00967785"/>
    <w:rsid w:val="009704A2"/>
    <w:rsid w:val="00970E60"/>
    <w:rsid w:val="009717F8"/>
    <w:rsid w:val="00971E03"/>
    <w:rsid w:val="009722CB"/>
    <w:rsid w:val="00974212"/>
    <w:rsid w:val="0097707A"/>
    <w:rsid w:val="00977C25"/>
    <w:rsid w:val="009828C4"/>
    <w:rsid w:val="00983F0D"/>
    <w:rsid w:val="0099345F"/>
    <w:rsid w:val="00997254"/>
    <w:rsid w:val="009A1B98"/>
    <w:rsid w:val="009A240C"/>
    <w:rsid w:val="009A5C7D"/>
    <w:rsid w:val="009A5DAF"/>
    <w:rsid w:val="009A6874"/>
    <w:rsid w:val="009A7601"/>
    <w:rsid w:val="009B026F"/>
    <w:rsid w:val="009B3ABD"/>
    <w:rsid w:val="009B7AEF"/>
    <w:rsid w:val="009C16F8"/>
    <w:rsid w:val="009D3111"/>
    <w:rsid w:val="009D334A"/>
    <w:rsid w:val="009D6FBE"/>
    <w:rsid w:val="009E13E0"/>
    <w:rsid w:val="009E1B59"/>
    <w:rsid w:val="009E2422"/>
    <w:rsid w:val="009E3118"/>
    <w:rsid w:val="009E3815"/>
    <w:rsid w:val="009E3C2D"/>
    <w:rsid w:val="009E3F9D"/>
    <w:rsid w:val="009E714A"/>
    <w:rsid w:val="009F0C0E"/>
    <w:rsid w:val="009F0CC1"/>
    <w:rsid w:val="009F0D77"/>
    <w:rsid w:val="009F1A88"/>
    <w:rsid w:val="009F3122"/>
    <w:rsid w:val="009F36BE"/>
    <w:rsid w:val="009F3885"/>
    <w:rsid w:val="009F3DA9"/>
    <w:rsid w:val="009F43ED"/>
    <w:rsid w:val="009F4EAB"/>
    <w:rsid w:val="009F505D"/>
    <w:rsid w:val="009F5743"/>
    <w:rsid w:val="009F57A7"/>
    <w:rsid w:val="009F5C91"/>
    <w:rsid w:val="009F61D8"/>
    <w:rsid w:val="00A00EF8"/>
    <w:rsid w:val="00A056CC"/>
    <w:rsid w:val="00A06C7A"/>
    <w:rsid w:val="00A10C5C"/>
    <w:rsid w:val="00A11286"/>
    <w:rsid w:val="00A11394"/>
    <w:rsid w:val="00A20428"/>
    <w:rsid w:val="00A20A0F"/>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62093"/>
    <w:rsid w:val="00A625EC"/>
    <w:rsid w:val="00A670B9"/>
    <w:rsid w:val="00A72546"/>
    <w:rsid w:val="00A74559"/>
    <w:rsid w:val="00A7526A"/>
    <w:rsid w:val="00A75709"/>
    <w:rsid w:val="00A8232E"/>
    <w:rsid w:val="00A84995"/>
    <w:rsid w:val="00A85E4A"/>
    <w:rsid w:val="00A86143"/>
    <w:rsid w:val="00A86B82"/>
    <w:rsid w:val="00A87A5F"/>
    <w:rsid w:val="00A964BD"/>
    <w:rsid w:val="00A979DD"/>
    <w:rsid w:val="00AA1C47"/>
    <w:rsid w:val="00AA3C83"/>
    <w:rsid w:val="00AA5E72"/>
    <w:rsid w:val="00AA6069"/>
    <w:rsid w:val="00AA7102"/>
    <w:rsid w:val="00AB0831"/>
    <w:rsid w:val="00AB1F2F"/>
    <w:rsid w:val="00AB4698"/>
    <w:rsid w:val="00AB6B5F"/>
    <w:rsid w:val="00AC0223"/>
    <w:rsid w:val="00AC0EEE"/>
    <w:rsid w:val="00AC14B1"/>
    <w:rsid w:val="00AC4F9E"/>
    <w:rsid w:val="00AD1B3E"/>
    <w:rsid w:val="00AD1D01"/>
    <w:rsid w:val="00AD2B2A"/>
    <w:rsid w:val="00AD3237"/>
    <w:rsid w:val="00AD5304"/>
    <w:rsid w:val="00AD589B"/>
    <w:rsid w:val="00AD70C1"/>
    <w:rsid w:val="00AE16B6"/>
    <w:rsid w:val="00AE24BF"/>
    <w:rsid w:val="00AE34ED"/>
    <w:rsid w:val="00AF1BCF"/>
    <w:rsid w:val="00AF3530"/>
    <w:rsid w:val="00AF519C"/>
    <w:rsid w:val="00AF6BD7"/>
    <w:rsid w:val="00AF78B6"/>
    <w:rsid w:val="00B00964"/>
    <w:rsid w:val="00B0118B"/>
    <w:rsid w:val="00B02A59"/>
    <w:rsid w:val="00B03C06"/>
    <w:rsid w:val="00B079F8"/>
    <w:rsid w:val="00B1112F"/>
    <w:rsid w:val="00B12B9F"/>
    <w:rsid w:val="00B16B54"/>
    <w:rsid w:val="00B21775"/>
    <w:rsid w:val="00B220C8"/>
    <w:rsid w:val="00B232A4"/>
    <w:rsid w:val="00B23A9F"/>
    <w:rsid w:val="00B2503F"/>
    <w:rsid w:val="00B25514"/>
    <w:rsid w:val="00B30E28"/>
    <w:rsid w:val="00B413F2"/>
    <w:rsid w:val="00B423B7"/>
    <w:rsid w:val="00B46BAB"/>
    <w:rsid w:val="00B47730"/>
    <w:rsid w:val="00B47C6F"/>
    <w:rsid w:val="00B47D6F"/>
    <w:rsid w:val="00B47F45"/>
    <w:rsid w:val="00B50D6B"/>
    <w:rsid w:val="00B523BF"/>
    <w:rsid w:val="00B5278E"/>
    <w:rsid w:val="00B53A02"/>
    <w:rsid w:val="00B555DE"/>
    <w:rsid w:val="00B6051E"/>
    <w:rsid w:val="00B70394"/>
    <w:rsid w:val="00B72F06"/>
    <w:rsid w:val="00B73783"/>
    <w:rsid w:val="00B73C2D"/>
    <w:rsid w:val="00B76C1C"/>
    <w:rsid w:val="00B82274"/>
    <w:rsid w:val="00B82B7A"/>
    <w:rsid w:val="00B82C84"/>
    <w:rsid w:val="00B84BB2"/>
    <w:rsid w:val="00B85437"/>
    <w:rsid w:val="00B95321"/>
    <w:rsid w:val="00B96BA1"/>
    <w:rsid w:val="00B97B6F"/>
    <w:rsid w:val="00B97E3A"/>
    <w:rsid w:val="00BA07DF"/>
    <w:rsid w:val="00BA1185"/>
    <w:rsid w:val="00BA14CF"/>
    <w:rsid w:val="00BA17EA"/>
    <w:rsid w:val="00BA230D"/>
    <w:rsid w:val="00BA2515"/>
    <w:rsid w:val="00BA25D9"/>
    <w:rsid w:val="00BA31C0"/>
    <w:rsid w:val="00BA5867"/>
    <w:rsid w:val="00BA58FD"/>
    <w:rsid w:val="00BA5B70"/>
    <w:rsid w:val="00BA7382"/>
    <w:rsid w:val="00BA7EBC"/>
    <w:rsid w:val="00BB0850"/>
    <w:rsid w:val="00BB2FFC"/>
    <w:rsid w:val="00BB496A"/>
    <w:rsid w:val="00BB6105"/>
    <w:rsid w:val="00BB76A0"/>
    <w:rsid w:val="00BB7816"/>
    <w:rsid w:val="00BC2958"/>
    <w:rsid w:val="00BC33E9"/>
    <w:rsid w:val="00BC3975"/>
    <w:rsid w:val="00BC4521"/>
    <w:rsid w:val="00BC5DE4"/>
    <w:rsid w:val="00BC7D3B"/>
    <w:rsid w:val="00BD129B"/>
    <w:rsid w:val="00BD13DC"/>
    <w:rsid w:val="00BD27AB"/>
    <w:rsid w:val="00BD42DE"/>
    <w:rsid w:val="00BD4E92"/>
    <w:rsid w:val="00BD5079"/>
    <w:rsid w:val="00BD574A"/>
    <w:rsid w:val="00BD5E7C"/>
    <w:rsid w:val="00BE14A3"/>
    <w:rsid w:val="00BE17F4"/>
    <w:rsid w:val="00BE22B3"/>
    <w:rsid w:val="00BE422C"/>
    <w:rsid w:val="00BE614C"/>
    <w:rsid w:val="00BE67AE"/>
    <w:rsid w:val="00BF17E1"/>
    <w:rsid w:val="00BF1E70"/>
    <w:rsid w:val="00BF2FE9"/>
    <w:rsid w:val="00BF47CB"/>
    <w:rsid w:val="00C01659"/>
    <w:rsid w:val="00C02066"/>
    <w:rsid w:val="00C027BB"/>
    <w:rsid w:val="00C034E6"/>
    <w:rsid w:val="00C062AE"/>
    <w:rsid w:val="00C06B3F"/>
    <w:rsid w:val="00C13C05"/>
    <w:rsid w:val="00C13F3C"/>
    <w:rsid w:val="00C144FC"/>
    <w:rsid w:val="00C154E0"/>
    <w:rsid w:val="00C1607F"/>
    <w:rsid w:val="00C16743"/>
    <w:rsid w:val="00C176BF"/>
    <w:rsid w:val="00C17AE0"/>
    <w:rsid w:val="00C17E9A"/>
    <w:rsid w:val="00C3028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8A6"/>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80795"/>
    <w:rsid w:val="00C81131"/>
    <w:rsid w:val="00C823BD"/>
    <w:rsid w:val="00C823C0"/>
    <w:rsid w:val="00C82ADF"/>
    <w:rsid w:val="00C85898"/>
    <w:rsid w:val="00C85B23"/>
    <w:rsid w:val="00C85DFC"/>
    <w:rsid w:val="00C87D04"/>
    <w:rsid w:val="00C87EFC"/>
    <w:rsid w:val="00C914B2"/>
    <w:rsid w:val="00C925C6"/>
    <w:rsid w:val="00C93E0F"/>
    <w:rsid w:val="00C96AA0"/>
    <w:rsid w:val="00C96B4E"/>
    <w:rsid w:val="00C9754C"/>
    <w:rsid w:val="00CA40B0"/>
    <w:rsid w:val="00CA5963"/>
    <w:rsid w:val="00CA5F3C"/>
    <w:rsid w:val="00CA6285"/>
    <w:rsid w:val="00CA62D8"/>
    <w:rsid w:val="00CB23BD"/>
    <w:rsid w:val="00CB3998"/>
    <w:rsid w:val="00CB5618"/>
    <w:rsid w:val="00CB577A"/>
    <w:rsid w:val="00CC2320"/>
    <w:rsid w:val="00CC290D"/>
    <w:rsid w:val="00CC483E"/>
    <w:rsid w:val="00CD0519"/>
    <w:rsid w:val="00CD09B1"/>
    <w:rsid w:val="00CD2075"/>
    <w:rsid w:val="00CD4E82"/>
    <w:rsid w:val="00CD598F"/>
    <w:rsid w:val="00CD5F14"/>
    <w:rsid w:val="00CD6A04"/>
    <w:rsid w:val="00CE374C"/>
    <w:rsid w:val="00CE4A6D"/>
    <w:rsid w:val="00CE5795"/>
    <w:rsid w:val="00CE63C1"/>
    <w:rsid w:val="00CF1E4D"/>
    <w:rsid w:val="00CF29FF"/>
    <w:rsid w:val="00CF2A56"/>
    <w:rsid w:val="00CF44E4"/>
    <w:rsid w:val="00CF46A3"/>
    <w:rsid w:val="00CF5FE7"/>
    <w:rsid w:val="00D07067"/>
    <w:rsid w:val="00D075AA"/>
    <w:rsid w:val="00D10370"/>
    <w:rsid w:val="00D11861"/>
    <w:rsid w:val="00D11D57"/>
    <w:rsid w:val="00D15067"/>
    <w:rsid w:val="00D16C7C"/>
    <w:rsid w:val="00D16E03"/>
    <w:rsid w:val="00D174C9"/>
    <w:rsid w:val="00D200F8"/>
    <w:rsid w:val="00D208E9"/>
    <w:rsid w:val="00D2146D"/>
    <w:rsid w:val="00D234C0"/>
    <w:rsid w:val="00D23EC6"/>
    <w:rsid w:val="00D2601F"/>
    <w:rsid w:val="00D27CC0"/>
    <w:rsid w:val="00D30E41"/>
    <w:rsid w:val="00D31534"/>
    <w:rsid w:val="00D32EF8"/>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AD0"/>
    <w:rsid w:val="00D72C3E"/>
    <w:rsid w:val="00D72E1C"/>
    <w:rsid w:val="00D74508"/>
    <w:rsid w:val="00D75432"/>
    <w:rsid w:val="00D776E0"/>
    <w:rsid w:val="00D81B90"/>
    <w:rsid w:val="00D83B77"/>
    <w:rsid w:val="00D83E3D"/>
    <w:rsid w:val="00D84631"/>
    <w:rsid w:val="00D9330E"/>
    <w:rsid w:val="00DA0D71"/>
    <w:rsid w:val="00DA3E29"/>
    <w:rsid w:val="00DA40EF"/>
    <w:rsid w:val="00DA50DD"/>
    <w:rsid w:val="00DA57AB"/>
    <w:rsid w:val="00DA5B2E"/>
    <w:rsid w:val="00DA6098"/>
    <w:rsid w:val="00DA7208"/>
    <w:rsid w:val="00DB0709"/>
    <w:rsid w:val="00DB091D"/>
    <w:rsid w:val="00DB0EF6"/>
    <w:rsid w:val="00DB42D3"/>
    <w:rsid w:val="00DB4607"/>
    <w:rsid w:val="00DB6A1E"/>
    <w:rsid w:val="00DB77A2"/>
    <w:rsid w:val="00DC13DB"/>
    <w:rsid w:val="00DC3E00"/>
    <w:rsid w:val="00DC5BD7"/>
    <w:rsid w:val="00DC678B"/>
    <w:rsid w:val="00DD0F39"/>
    <w:rsid w:val="00DD1C1A"/>
    <w:rsid w:val="00DD1D73"/>
    <w:rsid w:val="00DD24C7"/>
    <w:rsid w:val="00DD2C71"/>
    <w:rsid w:val="00DD402D"/>
    <w:rsid w:val="00DD5114"/>
    <w:rsid w:val="00DD63D0"/>
    <w:rsid w:val="00DD6882"/>
    <w:rsid w:val="00DE0271"/>
    <w:rsid w:val="00DE1E8E"/>
    <w:rsid w:val="00DE4050"/>
    <w:rsid w:val="00DE6293"/>
    <w:rsid w:val="00DE6C13"/>
    <w:rsid w:val="00DE71AD"/>
    <w:rsid w:val="00DF0B58"/>
    <w:rsid w:val="00DF13E9"/>
    <w:rsid w:val="00DF3259"/>
    <w:rsid w:val="00DF3935"/>
    <w:rsid w:val="00E00586"/>
    <w:rsid w:val="00E03013"/>
    <w:rsid w:val="00E05768"/>
    <w:rsid w:val="00E06E01"/>
    <w:rsid w:val="00E07261"/>
    <w:rsid w:val="00E163F5"/>
    <w:rsid w:val="00E16CF4"/>
    <w:rsid w:val="00E17AAA"/>
    <w:rsid w:val="00E2023C"/>
    <w:rsid w:val="00E254DE"/>
    <w:rsid w:val="00E279C7"/>
    <w:rsid w:val="00E27F47"/>
    <w:rsid w:val="00E337B2"/>
    <w:rsid w:val="00E36046"/>
    <w:rsid w:val="00E368C1"/>
    <w:rsid w:val="00E42686"/>
    <w:rsid w:val="00E45713"/>
    <w:rsid w:val="00E5141A"/>
    <w:rsid w:val="00E525EF"/>
    <w:rsid w:val="00E52B61"/>
    <w:rsid w:val="00E542ED"/>
    <w:rsid w:val="00E551C4"/>
    <w:rsid w:val="00E5608B"/>
    <w:rsid w:val="00E564F8"/>
    <w:rsid w:val="00E57237"/>
    <w:rsid w:val="00E57487"/>
    <w:rsid w:val="00E64429"/>
    <w:rsid w:val="00E65054"/>
    <w:rsid w:val="00E6534B"/>
    <w:rsid w:val="00E66780"/>
    <w:rsid w:val="00E6678D"/>
    <w:rsid w:val="00E705B8"/>
    <w:rsid w:val="00E711DA"/>
    <w:rsid w:val="00E75F3F"/>
    <w:rsid w:val="00E7715F"/>
    <w:rsid w:val="00E773DC"/>
    <w:rsid w:val="00E810AC"/>
    <w:rsid w:val="00E828AC"/>
    <w:rsid w:val="00E84345"/>
    <w:rsid w:val="00E87CC3"/>
    <w:rsid w:val="00E91098"/>
    <w:rsid w:val="00E9210B"/>
    <w:rsid w:val="00EA3AE2"/>
    <w:rsid w:val="00EA4A45"/>
    <w:rsid w:val="00EA4CD3"/>
    <w:rsid w:val="00EA4FFB"/>
    <w:rsid w:val="00EA6164"/>
    <w:rsid w:val="00EA7A01"/>
    <w:rsid w:val="00EA7CCD"/>
    <w:rsid w:val="00EB154B"/>
    <w:rsid w:val="00EB234D"/>
    <w:rsid w:val="00EB5C44"/>
    <w:rsid w:val="00EB5FE0"/>
    <w:rsid w:val="00EC185B"/>
    <w:rsid w:val="00EC3922"/>
    <w:rsid w:val="00EC428E"/>
    <w:rsid w:val="00EC50AD"/>
    <w:rsid w:val="00ED0449"/>
    <w:rsid w:val="00ED1087"/>
    <w:rsid w:val="00ED5A7B"/>
    <w:rsid w:val="00ED769C"/>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119AC"/>
    <w:rsid w:val="00F12B7F"/>
    <w:rsid w:val="00F135AB"/>
    <w:rsid w:val="00F14B55"/>
    <w:rsid w:val="00F154D3"/>
    <w:rsid w:val="00F15DF3"/>
    <w:rsid w:val="00F16609"/>
    <w:rsid w:val="00F2023C"/>
    <w:rsid w:val="00F20512"/>
    <w:rsid w:val="00F23425"/>
    <w:rsid w:val="00F23596"/>
    <w:rsid w:val="00F244D4"/>
    <w:rsid w:val="00F26062"/>
    <w:rsid w:val="00F330F8"/>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669E"/>
    <w:rsid w:val="00F666D6"/>
    <w:rsid w:val="00F67D23"/>
    <w:rsid w:val="00F7320A"/>
    <w:rsid w:val="00F74046"/>
    <w:rsid w:val="00F74414"/>
    <w:rsid w:val="00F75D20"/>
    <w:rsid w:val="00F80FF3"/>
    <w:rsid w:val="00F8735B"/>
    <w:rsid w:val="00F87EFB"/>
    <w:rsid w:val="00F90C71"/>
    <w:rsid w:val="00F91F35"/>
    <w:rsid w:val="00F922A6"/>
    <w:rsid w:val="00F94792"/>
    <w:rsid w:val="00F96A74"/>
    <w:rsid w:val="00FA2572"/>
    <w:rsid w:val="00FA28FE"/>
    <w:rsid w:val="00FA4372"/>
    <w:rsid w:val="00FA5CE2"/>
    <w:rsid w:val="00FB0403"/>
    <w:rsid w:val="00FB33C3"/>
    <w:rsid w:val="00FB5F54"/>
    <w:rsid w:val="00FB6C04"/>
    <w:rsid w:val="00FB738B"/>
    <w:rsid w:val="00FC4C29"/>
    <w:rsid w:val="00FD1625"/>
    <w:rsid w:val="00FD1905"/>
    <w:rsid w:val="00FD20A5"/>
    <w:rsid w:val="00FD3374"/>
    <w:rsid w:val="00FD7736"/>
    <w:rsid w:val="00FE102D"/>
    <w:rsid w:val="00FE1CA2"/>
    <w:rsid w:val="00FE4655"/>
    <w:rsid w:val="00FE46A9"/>
    <w:rsid w:val="00FE4A6A"/>
    <w:rsid w:val="00FE6863"/>
    <w:rsid w:val="00FF1D89"/>
    <w:rsid w:val="00FF1E2E"/>
    <w:rsid w:val="00FF22CF"/>
    <w:rsid w:val="00FF2991"/>
    <w:rsid w:val="00FF4DF1"/>
    <w:rsid w:val="00FF5B20"/>
    <w:rsid w:val="00FF5D8D"/>
    <w:rsid w:val="0AD1257A"/>
    <w:rsid w:val="0E9457C0"/>
    <w:rsid w:val="1E85149C"/>
    <w:rsid w:val="1F6D1D58"/>
    <w:rsid w:val="1FAA25B7"/>
    <w:rsid w:val="28B4582A"/>
    <w:rsid w:val="313B7751"/>
    <w:rsid w:val="34623382"/>
    <w:rsid w:val="41AD04EB"/>
    <w:rsid w:val="42A13108"/>
    <w:rsid w:val="45142198"/>
    <w:rsid w:val="49E310BD"/>
    <w:rsid w:val="4F5C5F5E"/>
    <w:rsid w:val="55554B11"/>
    <w:rsid w:val="56286FD1"/>
    <w:rsid w:val="5B7C1794"/>
    <w:rsid w:val="6A601BC3"/>
    <w:rsid w:val="6C851336"/>
    <w:rsid w:val="6EDA5883"/>
    <w:rsid w:val="F5EE9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0"/>
    <w:semiHidden/>
    <w:unhideWhenUsed/>
    <w:qFormat/>
    <w:uiPriority w:val="99"/>
    <w:rPr>
      <w:rFonts w:ascii="宋体" w:eastAsia="宋体"/>
      <w:sz w:val="18"/>
      <w:szCs w:val="18"/>
    </w:rPr>
  </w:style>
  <w:style w:type="paragraph" w:styleId="5">
    <w:name w:val="annotation text"/>
    <w:basedOn w:val="1"/>
    <w:link w:val="28"/>
    <w:semiHidden/>
    <w:unhideWhenUsed/>
    <w:qFormat/>
    <w:uiPriority w:val="99"/>
    <w:pPr>
      <w:jc w:val="left"/>
    </w:pPr>
  </w:style>
  <w:style w:type="paragraph" w:styleId="6">
    <w:name w:val="Balloon Text"/>
    <w:basedOn w:val="1"/>
    <w:link w:val="13"/>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annotation reference"/>
    <w:basedOn w:val="11"/>
    <w:semiHidden/>
    <w:unhideWhenUsed/>
    <w:qFormat/>
    <w:uiPriority w:val="99"/>
    <w:rPr>
      <w:sz w:val="21"/>
      <w:szCs w:val="21"/>
    </w:rPr>
  </w:style>
  <w:style w:type="character" w:customStyle="1" w:styleId="13">
    <w:name w:val="批注框文本 字符"/>
    <w:basedOn w:val="11"/>
    <w:link w:val="6"/>
    <w:semiHidden/>
    <w:qFormat/>
    <w:uiPriority w:val="99"/>
    <w:rPr>
      <w:sz w:val="18"/>
      <w:szCs w:val="18"/>
    </w:rPr>
  </w:style>
  <w:style w:type="character" w:customStyle="1" w:styleId="14">
    <w:name w:val="标题 1 字符"/>
    <w:basedOn w:val="11"/>
    <w:link w:val="2"/>
    <w:qFormat/>
    <w:uiPriority w:val="9"/>
    <w:rPr>
      <w:b/>
      <w:bCs/>
      <w:kern w:val="44"/>
      <w:sz w:val="44"/>
      <w:szCs w:val="44"/>
    </w:rPr>
  </w:style>
  <w:style w:type="paragraph" w:styleId="15">
    <w:name w:val="List Paragraph"/>
    <w:basedOn w:val="1"/>
    <w:qFormat/>
    <w:uiPriority w:val="34"/>
    <w:pPr>
      <w:ind w:firstLine="420" w:firstLineChars="200"/>
    </w:pPr>
  </w:style>
  <w:style w:type="character" w:styleId="16">
    <w:name w:val="Placeholder Text"/>
    <w:basedOn w:val="11"/>
    <w:semiHidden/>
    <w:qFormat/>
    <w:uiPriority w:val="99"/>
    <w:rPr>
      <w:color w:val="auto"/>
    </w:rPr>
  </w:style>
  <w:style w:type="character" w:customStyle="1" w:styleId="17">
    <w:name w:val="页眉 字符"/>
    <w:basedOn w:val="11"/>
    <w:link w:val="8"/>
    <w:qFormat/>
    <w:uiPriority w:val="99"/>
    <w:rPr>
      <w:sz w:val="18"/>
      <w:szCs w:val="18"/>
    </w:rPr>
  </w:style>
  <w:style w:type="character" w:customStyle="1" w:styleId="18">
    <w:name w:val="页脚 字符"/>
    <w:basedOn w:val="11"/>
    <w:link w:val="7"/>
    <w:qFormat/>
    <w:uiPriority w:val="99"/>
    <w:rPr>
      <w:sz w:val="18"/>
      <w:szCs w:val="18"/>
    </w:rPr>
  </w:style>
  <w:style w:type="character" w:customStyle="1" w:styleId="19">
    <w:name w:val="标题 2 字符"/>
    <w:basedOn w:val="11"/>
    <w:link w:val="3"/>
    <w:qFormat/>
    <w:uiPriority w:val="9"/>
    <w:rPr>
      <w:rFonts w:asciiTheme="majorHAnsi" w:hAnsiTheme="majorHAnsi" w:eastAsiaTheme="majorEastAsia" w:cstheme="majorBidi"/>
      <w:b/>
      <w:bCs/>
      <w:sz w:val="32"/>
      <w:szCs w:val="32"/>
    </w:rPr>
  </w:style>
  <w:style w:type="character" w:customStyle="1" w:styleId="20">
    <w:name w:val="文档结构图 字符"/>
    <w:basedOn w:val="11"/>
    <w:link w:val="4"/>
    <w:semiHidden/>
    <w:qFormat/>
    <w:uiPriority w:val="99"/>
    <w:rPr>
      <w:rFonts w:ascii="宋体" w:eastAsia="宋体"/>
      <w:sz w:val="18"/>
      <w:szCs w:val="18"/>
    </w:rPr>
  </w:style>
  <w:style w:type="character" w:customStyle="1" w:styleId="21">
    <w:name w:val="样式1"/>
    <w:qFormat/>
    <w:uiPriority w:val="1"/>
  </w:style>
  <w:style w:type="character" w:customStyle="1" w:styleId="22">
    <w:name w:val="样式2"/>
    <w:basedOn w:val="21"/>
    <w:qFormat/>
    <w:uiPriority w:val="1"/>
  </w:style>
  <w:style w:type="character" w:customStyle="1" w:styleId="23">
    <w:name w:val="样式3"/>
    <w:basedOn w:val="21"/>
    <w:qFormat/>
    <w:uiPriority w:val="1"/>
  </w:style>
  <w:style w:type="character" w:customStyle="1" w:styleId="24">
    <w:name w:val="样式4"/>
    <w:basedOn w:val="21"/>
    <w:qFormat/>
    <w:uiPriority w:val="1"/>
  </w:style>
  <w:style w:type="character" w:customStyle="1" w:styleId="25">
    <w:name w:val="样式5"/>
    <w:basedOn w:val="21"/>
    <w:qFormat/>
    <w:uiPriority w:val="1"/>
  </w:style>
  <w:style w:type="character" w:customStyle="1" w:styleId="26">
    <w:name w:val="样式6"/>
    <w:basedOn w:val="24"/>
    <w:qFormat/>
    <w:uiPriority w:val="1"/>
  </w:style>
  <w:style w:type="character" w:customStyle="1" w:styleId="27">
    <w:name w:val="样式7"/>
    <w:basedOn w:val="24"/>
    <w:qFormat/>
    <w:uiPriority w:val="1"/>
  </w:style>
  <w:style w:type="character" w:customStyle="1" w:styleId="28">
    <w:name w:val="批注文字 字符"/>
    <w:basedOn w:val="11"/>
    <w:link w:val="5"/>
    <w:semiHidden/>
    <w:qFormat/>
    <w:uiPriority w:val="99"/>
  </w:style>
  <w:style w:type="paragraph" w:customStyle="1" w:styleId="29">
    <w:name w:val="p0"/>
    <w:basedOn w:val="1"/>
    <w:qFormat/>
    <w:uiPriority w:val="0"/>
    <w:pPr>
      <w:widowControl/>
    </w:pPr>
    <w:rPr>
      <w:rFonts w:ascii="Book Antiqua" w:hAnsi="Book Antiqua"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5.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6.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5F702C0B-EAAC-4378-AC13-1912A359BD09}"/>
      </w:docPartPr>
      <w:docPartBody>
        <w:p w14:paraId="63C5BF86">
          <w:pPr>
            <w:pStyle w:val="5"/>
          </w:pPr>
          <w:r>
            <w:rPr>
              <w:rFonts w:hint="eastAsia" w:asciiTheme="majorEastAsia" w:hAnsiTheme="majorEastAsia" w:eastAsiaTheme="majorEastAsia"/>
              <w:b/>
              <w:color w:val="333399"/>
              <w:szCs w:val="36"/>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A10E8A"/>
    <w:rsid w:val="00032CF6"/>
    <w:rsid w:val="000343D6"/>
    <w:rsid w:val="0004422D"/>
    <w:rsid w:val="00051238"/>
    <w:rsid w:val="00064914"/>
    <w:rsid w:val="000777D0"/>
    <w:rsid w:val="00091B04"/>
    <w:rsid w:val="000927E9"/>
    <w:rsid w:val="000A7677"/>
    <w:rsid w:val="000B72CA"/>
    <w:rsid w:val="000D5200"/>
    <w:rsid w:val="000E3071"/>
    <w:rsid w:val="00111BD1"/>
    <w:rsid w:val="00145670"/>
    <w:rsid w:val="0016580D"/>
    <w:rsid w:val="0019225F"/>
    <w:rsid w:val="001D5BCD"/>
    <w:rsid w:val="001D6115"/>
    <w:rsid w:val="002143E6"/>
    <w:rsid w:val="00256D89"/>
    <w:rsid w:val="00267098"/>
    <w:rsid w:val="00282A8F"/>
    <w:rsid w:val="002A1489"/>
    <w:rsid w:val="002E6255"/>
    <w:rsid w:val="00306E3D"/>
    <w:rsid w:val="00316D69"/>
    <w:rsid w:val="0036106E"/>
    <w:rsid w:val="00376DD0"/>
    <w:rsid w:val="003810DE"/>
    <w:rsid w:val="003906EF"/>
    <w:rsid w:val="003B04EC"/>
    <w:rsid w:val="003B50D8"/>
    <w:rsid w:val="003D385E"/>
    <w:rsid w:val="004050E2"/>
    <w:rsid w:val="0043069B"/>
    <w:rsid w:val="00443A37"/>
    <w:rsid w:val="00452D11"/>
    <w:rsid w:val="00495DE2"/>
    <w:rsid w:val="004A1379"/>
    <w:rsid w:val="004A2790"/>
    <w:rsid w:val="004A4D38"/>
    <w:rsid w:val="004B104B"/>
    <w:rsid w:val="004B2A73"/>
    <w:rsid w:val="004B72D1"/>
    <w:rsid w:val="004E2C00"/>
    <w:rsid w:val="00505B16"/>
    <w:rsid w:val="00524560"/>
    <w:rsid w:val="005409B4"/>
    <w:rsid w:val="00541ABD"/>
    <w:rsid w:val="00584924"/>
    <w:rsid w:val="0058791E"/>
    <w:rsid w:val="005A02F7"/>
    <w:rsid w:val="005B1E3A"/>
    <w:rsid w:val="005D54A9"/>
    <w:rsid w:val="00602E7D"/>
    <w:rsid w:val="00633C9B"/>
    <w:rsid w:val="00645CB1"/>
    <w:rsid w:val="00687612"/>
    <w:rsid w:val="006B5AA8"/>
    <w:rsid w:val="006B7BE4"/>
    <w:rsid w:val="00734AD3"/>
    <w:rsid w:val="00752860"/>
    <w:rsid w:val="00765580"/>
    <w:rsid w:val="00777D46"/>
    <w:rsid w:val="00780325"/>
    <w:rsid w:val="00781254"/>
    <w:rsid w:val="0078693E"/>
    <w:rsid w:val="007A4890"/>
    <w:rsid w:val="007B11DD"/>
    <w:rsid w:val="007B1DA5"/>
    <w:rsid w:val="007C13F2"/>
    <w:rsid w:val="007C7D34"/>
    <w:rsid w:val="00800822"/>
    <w:rsid w:val="00846FD4"/>
    <w:rsid w:val="00851D98"/>
    <w:rsid w:val="008F361A"/>
    <w:rsid w:val="00932870"/>
    <w:rsid w:val="0095546D"/>
    <w:rsid w:val="009830BF"/>
    <w:rsid w:val="00985796"/>
    <w:rsid w:val="00991629"/>
    <w:rsid w:val="00996F77"/>
    <w:rsid w:val="009A3853"/>
    <w:rsid w:val="009C514E"/>
    <w:rsid w:val="009C7DBC"/>
    <w:rsid w:val="00A10E8A"/>
    <w:rsid w:val="00A3150D"/>
    <w:rsid w:val="00A41B15"/>
    <w:rsid w:val="00A76F92"/>
    <w:rsid w:val="00A808AB"/>
    <w:rsid w:val="00A86D8A"/>
    <w:rsid w:val="00AA1850"/>
    <w:rsid w:val="00AA1CD6"/>
    <w:rsid w:val="00AB46B1"/>
    <w:rsid w:val="00AE60D3"/>
    <w:rsid w:val="00BD611D"/>
    <w:rsid w:val="00C01254"/>
    <w:rsid w:val="00C1573E"/>
    <w:rsid w:val="00C17E9A"/>
    <w:rsid w:val="00CA0358"/>
    <w:rsid w:val="00CB6A47"/>
    <w:rsid w:val="00D047C8"/>
    <w:rsid w:val="00D26A94"/>
    <w:rsid w:val="00D711C1"/>
    <w:rsid w:val="00D74505"/>
    <w:rsid w:val="00D839D6"/>
    <w:rsid w:val="00DB1BD1"/>
    <w:rsid w:val="00DC38EF"/>
    <w:rsid w:val="00DD166E"/>
    <w:rsid w:val="00DF2409"/>
    <w:rsid w:val="00E717CD"/>
    <w:rsid w:val="00E93D68"/>
    <w:rsid w:val="00EA05B6"/>
    <w:rsid w:val="00F143C9"/>
    <w:rsid w:val="00F476B3"/>
    <w:rsid w:val="00F774E5"/>
    <w:rsid w:val="00FB76F7"/>
    <w:rsid w:val="00FD227C"/>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9F3DF1A127DD4BAF8FE0AECC20C482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]]></m:sse>
</m:mapping>
</file>

<file path=customXml/item3.xml><?xml version="1.0" encoding="utf-8"?>
<b:binding xmlns:clcta-taf="clcta-taf" xmlns:clcta-fte="clcta-fte" xmlns:clcta-be="clcta-be" xmlns:clcta-ci="clcta-ci" xmlns:b="http://mapping.word.org/2012/binding" xmlns:clcta-gie="clcta-gie" xmlns:xlink="xlink">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4.xml><?xml version="1.0" encoding="utf-8"?>
<t:template xmlns:t="http://mapping.word.org/2012/template">
  <t:sse><![CDATA[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]]></t:sse>
</t:template>
</file>

<file path=customXml/item5.xml><?xml version="1.0" encoding="utf-8"?>
<b:Sources xmlns="http://schemas.openxmlformats.org/officeDocument/2006/bibliography" xmlns:b="http://schemas.openxmlformats.org/officeDocument/2006/bibliography" SelectedStyle="\APASixthEditionOfficeOnline.xsl" StyleName="APA" Version="6"/>
</file>

<file path=customXml/item6.xml><?xml version="1.0" encoding="utf-8"?>
<sc:sections xmlns:sc="http://mapping.word.org/2014/section/customiz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B1A17D-9B58-4B01-A41C-F76F65F79B79}">
  <ds:schemaRefs/>
</ds:datastoreItem>
</file>

<file path=customXml/itemProps3.xml><?xml version="1.0" encoding="utf-8"?>
<ds:datastoreItem xmlns:ds="http://schemas.openxmlformats.org/officeDocument/2006/customXml" ds:itemID="{BA98B501-917D-472D-AC19-F30F1EB82784}">
  <ds:schemaRefs/>
</ds:datastoreItem>
</file>

<file path=customXml/itemProps4.xml><?xml version="1.0" encoding="utf-8"?>
<ds:datastoreItem xmlns:ds="http://schemas.openxmlformats.org/officeDocument/2006/customXml" ds:itemID="{8C6C2D70-AF6F-4ACF-B05B-91F64D85CD53}">
  <ds:schemaRefs/>
</ds:datastoreItem>
</file>

<file path=customXml/itemProps5.xml><?xml version="1.0" encoding="utf-8"?>
<ds:datastoreItem xmlns:ds="http://schemas.openxmlformats.org/officeDocument/2006/customXml" ds:itemID="{FBBD4083-AF00-4EEB-A939-6C9BD0F45EC6}">
  <ds:schemaRefs/>
</ds:datastoreItem>
</file>

<file path=customXml/itemProps6.xml><?xml version="1.0" encoding="utf-8"?>
<ds:datastoreItem xmlns:ds="http://schemas.openxmlformats.org/officeDocument/2006/customXml" ds:itemID="{AE2A90FD-D442-4998-8BC2-A66505EB9ACE}">
  <ds:schemaRefs/>
</ds:datastoreItem>
</file>

<file path=docProps/app.xml><?xml version="1.0" encoding="utf-8"?>
<Properties xmlns="http://schemas.openxmlformats.org/officeDocument/2006/extended-properties" xmlns:vt="http://schemas.openxmlformats.org/officeDocument/2006/docPropsVTypes">
  <Template>SSEReport</Template>
  <Pages>4</Pages>
  <Words>1483</Words>
  <Characters>1855</Characters>
  <Lines>16</Lines>
  <Paragraphs>4</Paragraphs>
  <TotalTime>45</TotalTime>
  <ScaleCrop>false</ScaleCrop>
  <LinksUpToDate>false</LinksUpToDate>
  <CharactersWithSpaces>1979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2025-07-15T17:21:00Z</dcterms:created>
  <dc:creator>yangzhiquan</dc:creator>
  <cp:lastModifiedBy>雯亦</cp:lastModifiedBy>
  <dcterms:modified xsi:type="dcterms:W3CDTF">2025-07-29T05:43:45Z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2052-12.1.0.21915</vt:lpwstr>
  </property>
  <property fmtid="{D5CDD505-2E9C-101B-9397-08002B2CF9AE}" pid="4" name="ICV">
    <vt:lpwstr>29EA8FA9EB4C42B8A5003D5E9B3C88A3_13</vt:lpwstr>
  </property>
</Properties>
</file>