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0C35F8">
      <w:pPr>
        <w:rPr>
          <w:rFonts w:asciiTheme="minorEastAsia" w:hAnsiTheme="minorEastAsia"/>
          <w:bCs/>
          <w:sz w:val="24"/>
          <w:szCs w:val="24"/>
        </w:rPr>
      </w:pPr>
      <w:r>
        <w:rPr>
          <w:rFonts w:hint="eastAsia" w:asciiTheme="minorEastAsia" w:hAnsiTheme="minorEastAsia"/>
          <w:bCs/>
          <w:sz w:val="24"/>
          <w:szCs w:val="24"/>
        </w:rPr>
        <w:t>证券代码：</w:t>
      </w:r>
      <w:sdt>
        <w:sdtPr>
          <w:rPr>
            <w:rFonts w:hint="eastAsia" w:asciiTheme="minorEastAsia" w:hAnsiTheme="minorEastAsia"/>
            <w:bCs/>
            <w:sz w:val="24"/>
            <w:szCs w:val="24"/>
          </w:rPr>
          <w:alias w:val="公司代码"/>
          <w:tag w:val="_GBC_62ef04c8e14e4c76b304f7775b7d8722"/>
          <w:id w:val="-1"/>
          <w:lock w:val="sdtLocked"/>
          <w:placeholder>
            <w:docPart w:val="GBC22222222222222222222222222222"/>
          </w:placeholder>
        </w:sdtPr>
        <w:sdtEndPr>
          <w:rPr>
            <w:rFonts w:hint="eastAsia" w:asciiTheme="minorEastAsia" w:hAnsiTheme="minorEastAsia"/>
            <w:bCs/>
            <w:sz w:val="24"/>
            <w:szCs w:val="24"/>
          </w:rPr>
        </w:sdtEndPr>
        <w:sdtContent>
          <w:r>
            <w:rPr>
              <w:rFonts w:asciiTheme="minorEastAsia" w:hAnsiTheme="minorEastAsia"/>
              <w:bCs/>
              <w:sz w:val="24"/>
              <w:szCs w:val="24"/>
            </w:rPr>
            <w:t>603191</w:t>
          </w:r>
        </w:sdtContent>
      </w:sdt>
      <w:r>
        <w:rPr>
          <w:rFonts w:hint="eastAsia" w:asciiTheme="minorEastAsia" w:hAnsiTheme="minorEastAsia"/>
          <w:bCs/>
          <w:sz w:val="24"/>
          <w:szCs w:val="24"/>
        </w:rPr>
        <w:t xml:space="preserve">   </w:t>
      </w:r>
      <w:r>
        <w:rPr>
          <w:rFonts w:asciiTheme="minorEastAsia" w:hAnsiTheme="minorEastAsia"/>
          <w:bCs/>
          <w:sz w:val="24"/>
          <w:szCs w:val="24"/>
        </w:rPr>
        <w:t xml:space="preserve">    </w:t>
      </w:r>
      <w:r>
        <w:rPr>
          <w:rFonts w:hint="eastAsia" w:asciiTheme="minorEastAsia" w:hAnsiTheme="minorEastAsia"/>
          <w:bCs/>
          <w:sz w:val="24"/>
          <w:szCs w:val="24"/>
        </w:rPr>
        <w:t>证券简称：</w:t>
      </w:r>
      <w:sdt>
        <w:sdtPr>
          <w:rPr>
            <w:rFonts w:hint="eastAsia" w:asciiTheme="minorEastAsia" w:hAnsiTheme="minorEastAsia"/>
            <w:bCs/>
            <w:sz w:val="24"/>
            <w:szCs w:val="24"/>
          </w:rPr>
          <w:alias w:val="公司简称"/>
          <w:tag w:val="_GBC_81c31f6c68a741c1acb30ff1595bc381"/>
          <w:id w:val="273114740"/>
          <w:lock w:val="sdtLocked"/>
          <w:placeholder>
            <w:docPart w:val="GBC22222222222222222222222222222"/>
          </w:placeholder>
        </w:sdtPr>
        <w:sdtEndPr>
          <w:rPr>
            <w:rFonts w:hint="eastAsia" w:asciiTheme="minorEastAsia" w:hAnsiTheme="minorEastAsia"/>
            <w:bCs/>
            <w:sz w:val="24"/>
            <w:szCs w:val="24"/>
          </w:rPr>
        </w:sdtEndPr>
        <w:sdtContent>
          <w:r>
            <w:rPr>
              <w:rFonts w:hint="eastAsia" w:asciiTheme="minorEastAsia" w:hAnsiTheme="minorEastAsia"/>
              <w:bCs/>
              <w:sz w:val="24"/>
              <w:szCs w:val="24"/>
            </w:rPr>
            <w:t>望变电气</w:t>
          </w:r>
        </w:sdtContent>
      </w:sdt>
      <w:r>
        <w:rPr>
          <w:rFonts w:hint="eastAsia" w:asciiTheme="minorEastAsia" w:hAnsiTheme="minorEastAsia"/>
          <w:bCs/>
          <w:sz w:val="24"/>
          <w:szCs w:val="24"/>
        </w:rPr>
        <w:t xml:space="preserve">   </w:t>
      </w:r>
      <w:r>
        <w:rPr>
          <w:rFonts w:asciiTheme="minorEastAsia" w:hAnsiTheme="minorEastAsia"/>
          <w:bCs/>
          <w:sz w:val="24"/>
          <w:szCs w:val="24"/>
        </w:rPr>
        <w:t xml:space="preserve">     </w:t>
      </w:r>
      <w:r>
        <w:rPr>
          <w:rFonts w:hint="eastAsia" w:asciiTheme="minorEastAsia" w:hAnsiTheme="minorEastAsia"/>
          <w:bCs/>
          <w:sz w:val="24"/>
          <w:szCs w:val="24"/>
        </w:rPr>
        <w:t>公告编号：</w:t>
      </w:r>
      <w:sdt>
        <w:sdtPr>
          <w:rPr>
            <w:rFonts w:hint="eastAsia" w:asciiTheme="minorEastAsia" w:hAnsiTheme="minorEastAsia"/>
            <w:bCs/>
            <w:sz w:val="24"/>
            <w:szCs w:val="24"/>
          </w:rPr>
          <w:alias w:val="临时公告编号"/>
          <w:tag w:val="_GBC_51438e46cb944a2bb6b9cb5e9d53d512"/>
          <w:id w:val="1376890213"/>
          <w:lock w:val="sdtLocked"/>
          <w:placeholder>
            <w:docPart w:val="GBC22222222222222222222222222222"/>
          </w:placeholder>
        </w:sdtPr>
        <w:sdtEndPr>
          <w:rPr>
            <w:rFonts w:hint="eastAsia" w:asciiTheme="minorEastAsia" w:hAnsiTheme="minorEastAsia"/>
            <w:bCs/>
            <w:sz w:val="24"/>
            <w:szCs w:val="24"/>
          </w:rPr>
        </w:sdtEndPr>
        <w:sdtContent>
          <w:r>
            <w:rPr>
              <w:rFonts w:hint="eastAsia" w:asciiTheme="minorEastAsia" w:hAnsiTheme="minorEastAsia"/>
              <w:bCs/>
              <w:sz w:val="24"/>
              <w:szCs w:val="24"/>
            </w:rPr>
            <w:t>2025-</w:t>
          </w:r>
          <w:r>
            <w:rPr>
              <w:rFonts w:asciiTheme="minorEastAsia" w:hAnsiTheme="minorEastAsia"/>
              <w:bCs/>
              <w:sz w:val="24"/>
              <w:szCs w:val="24"/>
            </w:rPr>
            <w:t>0</w:t>
          </w:r>
          <w:r>
            <w:rPr>
              <w:rFonts w:hint="eastAsia" w:asciiTheme="minorEastAsia" w:hAnsiTheme="minorEastAsia"/>
              <w:bCs/>
              <w:sz w:val="24"/>
              <w:szCs w:val="24"/>
            </w:rPr>
            <w:t>48</w:t>
          </w:r>
        </w:sdtContent>
      </w:sdt>
    </w:p>
    <w:p w14:paraId="587F7689">
      <w:pPr>
        <w:jc w:val="right"/>
        <w:rPr>
          <w:rFonts w:asciiTheme="minorEastAsia" w:hAnsiTheme="minorEastAsia"/>
          <w:b/>
          <w:sz w:val="24"/>
          <w:szCs w:val="24"/>
        </w:rPr>
      </w:pPr>
    </w:p>
    <w:p w14:paraId="5680CDEA">
      <w:pPr>
        <w:jc w:val="right"/>
        <w:rPr>
          <w:rFonts w:asciiTheme="minorEastAsia" w:hAnsiTheme="minorEastAsia"/>
          <w:b/>
          <w:sz w:val="24"/>
          <w:szCs w:val="24"/>
        </w:rPr>
      </w:pPr>
    </w:p>
    <w:p w14:paraId="16CA3FB6">
      <w:pPr>
        <w:adjustRightInd w:val="0"/>
        <w:snapToGrid w:val="0"/>
        <w:spacing w:line="360" w:lineRule="auto"/>
        <w:jc w:val="center"/>
        <w:rPr>
          <w:rFonts w:ascii="黑体" w:hAnsi="黑体" w:eastAsia="黑体"/>
          <w:b/>
          <w:color w:val="FF0000"/>
          <w:sz w:val="36"/>
          <w:szCs w:val="24"/>
        </w:rPr>
      </w:pPr>
      <w:r>
        <w:rPr>
          <w:rFonts w:hint="eastAsia" w:ascii="黑体" w:hAnsi="黑体" w:eastAsia="黑体"/>
          <w:b/>
          <w:color w:val="FF0000"/>
          <w:sz w:val="36"/>
          <w:szCs w:val="24"/>
        </w:rPr>
        <w:t>重庆望变电气（集团）股份有限公司</w:t>
      </w:r>
    </w:p>
    <w:p w14:paraId="490E0E67">
      <w:pPr>
        <w:adjustRightInd w:val="0"/>
        <w:snapToGrid w:val="0"/>
        <w:spacing w:line="360" w:lineRule="auto"/>
        <w:jc w:val="center"/>
        <w:rPr>
          <w:rFonts w:ascii="黑体" w:hAnsi="黑体" w:eastAsia="黑体"/>
          <w:b/>
          <w:color w:val="FF0000"/>
          <w:sz w:val="36"/>
          <w:szCs w:val="24"/>
        </w:rPr>
      </w:pPr>
      <w:r>
        <w:rPr>
          <w:rFonts w:hint="eastAsia" w:ascii="黑体" w:hAnsi="黑体" w:eastAsia="黑体"/>
          <w:b/>
          <w:color w:val="FF0000"/>
          <w:sz w:val="36"/>
          <w:szCs w:val="24"/>
        </w:rPr>
        <w:t>2025年</w:t>
      </w:r>
      <w:r>
        <w:rPr>
          <w:rFonts w:ascii="黑体" w:hAnsi="黑体" w:eastAsia="黑体"/>
          <w:b/>
          <w:color w:val="FF0000"/>
          <w:sz w:val="36"/>
          <w:szCs w:val="24"/>
        </w:rPr>
        <w:t>9</w:t>
      </w:r>
      <w:r>
        <w:rPr>
          <w:rFonts w:hint="eastAsia" w:ascii="黑体" w:hAnsi="黑体" w:eastAsia="黑体"/>
          <w:b/>
          <w:color w:val="FF0000"/>
          <w:sz w:val="36"/>
          <w:szCs w:val="24"/>
        </w:rPr>
        <w:t>月对子公司提供担保的进展公告</w:t>
      </w:r>
    </w:p>
    <w:p w14:paraId="1FE22859">
      <w:pPr>
        <w:pBdr>
          <w:top w:val="single" w:color="auto" w:sz="4" w:space="4"/>
          <w:left w:val="single" w:color="auto" w:sz="4" w:space="3"/>
          <w:bottom w:val="single" w:color="auto" w:sz="4" w:space="1"/>
          <w:right w:val="single" w:color="auto" w:sz="4" w:space="4"/>
        </w:pBdr>
        <w:adjustRightInd w:val="0"/>
        <w:snapToGrid w:val="0"/>
        <w:spacing w:line="360" w:lineRule="auto"/>
        <w:ind w:firstLine="480" w:firstLineChars="200"/>
        <w:rPr>
          <w:rFonts w:asciiTheme="minorEastAsia" w:hAnsiTheme="minorEastAsia"/>
          <w:color w:val="000000"/>
          <w:sz w:val="24"/>
          <w:szCs w:val="24"/>
        </w:rPr>
      </w:pPr>
      <w:r>
        <w:rPr>
          <w:rFonts w:hint="eastAsia" w:asciiTheme="minorEastAsia" w:hAnsiTheme="minorEastAsia"/>
          <w:color w:val="000000"/>
          <w:sz w:val="24"/>
          <w:szCs w:val="24"/>
        </w:rPr>
        <w:t>本公司董事会及全体董事保证本公告内容不存在任何虚假记载、误导性陈述或者重大遗漏，并对其内容的真实性、准确性和完整性承担法律责任。</w:t>
      </w:r>
    </w:p>
    <w:p w14:paraId="4232B147">
      <w:pPr>
        <w:widowControl/>
        <w:adjustRightInd w:val="0"/>
        <w:snapToGrid w:val="0"/>
        <w:spacing w:line="560" w:lineRule="exact"/>
        <w:ind w:firstLine="600"/>
        <w:jc w:val="right"/>
        <w:rPr>
          <w:rFonts w:cs="仿宋_GB2312" w:asciiTheme="minorEastAsia" w:hAnsiTheme="minorEastAsia"/>
          <w:sz w:val="24"/>
          <w:szCs w:val="24"/>
        </w:rPr>
      </w:pPr>
    </w:p>
    <w:p w14:paraId="2DC7CD8E">
      <w:pPr>
        <w:widowControl/>
        <w:adjustRightInd w:val="0"/>
        <w:snapToGrid w:val="0"/>
        <w:spacing w:line="560" w:lineRule="exact"/>
        <w:jc w:val="left"/>
        <w:rPr>
          <w:rFonts w:asciiTheme="minorEastAsia" w:hAnsiTheme="minorEastAsia" w:cstheme="minorEastAsia"/>
          <w:b/>
          <w:bCs/>
          <w:sz w:val="28"/>
          <w:szCs w:val="28"/>
        </w:rPr>
      </w:pPr>
      <w:r>
        <w:rPr>
          <w:rFonts w:hint="eastAsia" w:asciiTheme="minorEastAsia" w:hAnsiTheme="minorEastAsia" w:cstheme="minorEastAsia"/>
          <w:b/>
          <w:bCs/>
          <w:sz w:val="28"/>
          <w:szCs w:val="28"/>
        </w:rPr>
        <w:t>重要内容提示：</w:t>
      </w:r>
    </w:p>
    <w:p w14:paraId="6525957A">
      <w:pPr>
        <w:widowControl/>
        <w:numPr>
          <w:ilvl w:val="0"/>
          <w:numId w:val="1"/>
        </w:numPr>
        <w:adjustRightInd w:val="0"/>
        <w:snapToGrid w:val="0"/>
        <w:spacing w:line="560" w:lineRule="exact"/>
        <w:ind w:left="0" w:firstLine="482" w:firstLineChars="200"/>
        <w:jc w:val="left"/>
        <w:rPr>
          <w:rFonts w:asciiTheme="minorEastAsia" w:hAnsiTheme="minorEastAsia" w:cstheme="minorEastAsia"/>
          <w:b/>
          <w:bCs/>
          <w:sz w:val="24"/>
          <w:szCs w:val="24"/>
        </w:rPr>
      </w:pPr>
      <w:r>
        <w:rPr>
          <w:rFonts w:hint="eastAsia" w:asciiTheme="minorEastAsia" w:hAnsiTheme="minorEastAsia" w:cstheme="minorEastAsia"/>
          <w:b/>
          <w:bCs/>
          <w:sz w:val="24"/>
          <w:szCs w:val="24"/>
        </w:rPr>
        <w:t>担保对象及基本情况</w:t>
      </w:r>
    </w:p>
    <w:tbl>
      <w:tblPr>
        <w:tblStyle w:val="12"/>
        <w:tblW w:w="4991" w:type="pct"/>
        <w:tblInd w:w="1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104"/>
        <w:gridCol w:w="3490"/>
        <w:gridCol w:w="3913"/>
      </w:tblGrid>
      <w:tr w14:paraId="5BD4964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28" w:hRule="atLeast"/>
        </w:trPr>
        <w:tc>
          <w:tcPr>
            <w:tcW w:w="1075" w:type="dxa"/>
            <w:vMerge w:val="restart"/>
            <w:vAlign w:val="center"/>
          </w:tcPr>
          <w:p w14:paraId="6DE461CD">
            <w:pPr>
              <w:widowControl/>
              <w:adjustRightInd w:val="0"/>
              <w:snapToGrid w:val="0"/>
              <w:rPr>
                <w:rFonts w:asciiTheme="minorEastAsia" w:hAnsiTheme="minorEastAsia" w:cstheme="minorEastAsia"/>
                <w:b/>
                <w:bCs/>
                <w:color w:val="000000"/>
                <w:kern w:val="0"/>
                <w:sz w:val="24"/>
                <w:szCs w:val="24"/>
              </w:rPr>
            </w:pPr>
            <w:bookmarkStart w:id="0" w:name="OLE_LINK10"/>
            <w:bookmarkStart w:id="1" w:name="OLE_LINK11"/>
            <w:r>
              <w:rPr>
                <w:rFonts w:hint="eastAsia" w:asciiTheme="minorEastAsia" w:hAnsiTheme="minorEastAsia" w:cstheme="minorEastAsia"/>
                <w:b/>
                <w:bCs/>
                <w:color w:val="000000"/>
                <w:kern w:val="0"/>
                <w:sz w:val="24"/>
                <w:szCs w:val="24"/>
              </w:rPr>
              <w:t>担保对象 一</w:t>
            </w:r>
            <w:bookmarkEnd w:id="0"/>
            <w:bookmarkEnd w:id="1"/>
          </w:p>
        </w:tc>
        <w:tc>
          <w:tcPr>
            <w:tcW w:w="3397" w:type="dxa"/>
            <w:vAlign w:val="center"/>
          </w:tcPr>
          <w:p w14:paraId="6D88F8AB">
            <w:pPr>
              <w:widowControl/>
              <w:adjustRightInd w:val="0"/>
              <w:snapToGrid w:val="0"/>
              <w:rPr>
                <w:rFonts w:asciiTheme="minorEastAsia" w:hAnsiTheme="minorEastAsia" w:cstheme="minorEastAsia"/>
                <w:color w:val="000000"/>
                <w:sz w:val="24"/>
                <w:szCs w:val="24"/>
              </w:rPr>
            </w:pPr>
            <w:r>
              <w:rPr>
                <w:rFonts w:hint="eastAsia" w:asciiTheme="minorEastAsia" w:hAnsiTheme="minorEastAsia" w:cstheme="minorEastAsia"/>
                <w:color w:val="000000"/>
                <w:kern w:val="0"/>
                <w:sz w:val="24"/>
                <w:szCs w:val="24"/>
              </w:rPr>
              <w:t>被担保人名称</w:t>
            </w:r>
          </w:p>
        </w:tc>
        <w:tc>
          <w:tcPr>
            <w:tcW w:w="3809" w:type="dxa"/>
            <w:vAlign w:val="center"/>
          </w:tcPr>
          <w:p w14:paraId="3AB8BA6C">
            <w:pPr>
              <w:widowControl/>
              <w:adjustRightInd w:val="0"/>
              <w:snapToGrid w:val="0"/>
              <w:rPr>
                <w:rFonts w:asciiTheme="minorEastAsia" w:hAnsiTheme="minorEastAsia" w:cstheme="minorEastAsia"/>
                <w:color w:val="000000"/>
                <w:sz w:val="24"/>
                <w:szCs w:val="24"/>
              </w:rPr>
            </w:pPr>
            <w:r>
              <w:rPr>
                <w:rFonts w:hint="eastAsia" w:ascii="宋体" w:hAnsi="宋体" w:cs="宋体"/>
                <w:sz w:val="24"/>
                <w:szCs w:val="24"/>
              </w:rPr>
              <w:t>云南变压器电气股份有限公司（以下简称“云变电气”）</w:t>
            </w:r>
          </w:p>
        </w:tc>
      </w:tr>
      <w:tr w14:paraId="2EF5B69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91" w:hRule="atLeast"/>
        </w:trPr>
        <w:tc>
          <w:tcPr>
            <w:tcW w:w="1075" w:type="dxa"/>
            <w:vMerge w:val="continue"/>
            <w:vAlign w:val="center"/>
          </w:tcPr>
          <w:p w14:paraId="059601DB">
            <w:pPr>
              <w:widowControl/>
              <w:adjustRightInd w:val="0"/>
              <w:snapToGrid w:val="0"/>
              <w:rPr>
                <w:rFonts w:asciiTheme="minorEastAsia" w:hAnsiTheme="minorEastAsia" w:cstheme="minorEastAsia"/>
                <w:color w:val="000000"/>
                <w:sz w:val="24"/>
                <w:szCs w:val="24"/>
              </w:rPr>
            </w:pPr>
            <w:bookmarkStart w:id="2" w:name="_Hlk210917321"/>
          </w:p>
        </w:tc>
        <w:tc>
          <w:tcPr>
            <w:tcW w:w="3397" w:type="dxa"/>
            <w:vAlign w:val="center"/>
          </w:tcPr>
          <w:p w14:paraId="66D1DCCA">
            <w:pPr>
              <w:widowControl/>
              <w:adjustRightInd w:val="0"/>
              <w:snapToGrid w:val="0"/>
              <w:rPr>
                <w:rFonts w:asciiTheme="minorEastAsia" w:hAnsiTheme="minorEastAsia" w:cstheme="minorEastAsia"/>
                <w:color w:val="000000"/>
                <w:sz w:val="24"/>
                <w:szCs w:val="24"/>
              </w:rPr>
            </w:pPr>
            <w:r>
              <w:rPr>
                <w:rFonts w:hint="eastAsia" w:asciiTheme="minorEastAsia" w:hAnsiTheme="minorEastAsia" w:cstheme="minorEastAsia"/>
                <w:color w:val="000000"/>
                <w:kern w:val="0"/>
                <w:sz w:val="24"/>
                <w:szCs w:val="24"/>
              </w:rPr>
              <w:t>本次担保金额</w:t>
            </w:r>
          </w:p>
        </w:tc>
        <w:tc>
          <w:tcPr>
            <w:tcW w:w="3809" w:type="dxa"/>
            <w:vAlign w:val="center"/>
          </w:tcPr>
          <w:p w14:paraId="1C100DFF">
            <w:pPr>
              <w:widowControl/>
              <w:adjustRightInd w:val="0"/>
              <w:snapToGrid w:val="0"/>
              <w:rPr>
                <w:rFonts w:asciiTheme="minorEastAsia" w:hAnsiTheme="minorEastAsia" w:cstheme="minorEastAsia"/>
                <w:sz w:val="24"/>
                <w:szCs w:val="24"/>
              </w:rPr>
            </w:pPr>
            <w:r>
              <w:rPr>
                <w:rFonts w:asciiTheme="minorEastAsia" w:hAnsiTheme="minorEastAsia"/>
                <w:bCs/>
                <w:sz w:val="24"/>
                <w:szCs w:val="24"/>
              </w:rPr>
              <w:t>5,000.00</w:t>
            </w:r>
            <w:r>
              <w:rPr>
                <w:rFonts w:hint="eastAsia" w:asciiTheme="minorEastAsia" w:hAnsiTheme="minorEastAsia"/>
                <w:bCs/>
                <w:sz w:val="24"/>
                <w:szCs w:val="24"/>
              </w:rPr>
              <w:t>万元</w:t>
            </w:r>
          </w:p>
        </w:tc>
      </w:tr>
      <w:tr w14:paraId="30F9E05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18" w:hRule="atLeast"/>
        </w:trPr>
        <w:tc>
          <w:tcPr>
            <w:tcW w:w="1075" w:type="dxa"/>
            <w:vMerge w:val="continue"/>
            <w:vAlign w:val="center"/>
          </w:tcPr>
          <w:p w14:paraId="236ABF96">
            <w:pPr>
              <w:widowControl/>
              <w:adjustRightInd w:val="0"/>
              <w:snapToGrid w:val="0"/>
              <w:rPr>
                <w:rFonts w:asciiTheme="minorEastAsia" w:hAnsiTheme="minorEastAsia" w:cstheme="minorEastAsia"/>
                <w:color w:val="000000"/>
                <w:sz w:val="24"/>
                <w:szCs w:val="24"/>
              </w:rPr>
            </w:pPr>
          </w:p>
        </w:tc>
        <w:tc>
          <w:tcPr>
            <w:tcW w:w="3397" w:type="dxa"/>
            <w:vAlign w:val="center"/>
          </w:tcPr>
          <w:p w14:paraId="51449337">
            <w:pPr>
              <w:widowControl/>
              <w:adjustRightInd w:val="0"/>
              <w:snapToGrid w:val="0"/>
              <w:rPr>
                <w:rFonts w:asciiTheme="minorEastAsia" w:hAnsiTheme="minorEastAsia" w:cstheme="minorEastAsia"/>
                <w:color w:val="000000"/>
                <w:sz w:val="24"/>
                <w:szCs w:val="24"/>
              </w:rPr>
            </w:pPr>
            <w:r>
              <w:rPr>
                <w:rFonts w:hint="eastAsia" w:asciiTheme="minorEastAsia" w:hAnsiTheme="minorEastAsia" w:cstheme="minorEastAsia"/>
                <w:color w:val="000000"/>
                <w:kern w:val="0"/>
                <w:sz w:val="24"/>
                <w:szCs w:val="24"/>
              </w:rPr>
              <w:t>实际为其提供的担保余额</w:t>
            </w:r>
          </w:p>
        </w:tc>
        <w:tc>
          <w:tcPr>
            <w:tcW w:w="3809" w:type="dxa"/>
            <w:vAlign w:val="center"/>
          </w:tcPr>
          <w:p w14:paraId="4ED087E3">
            <w:pPr>
              <w:widowControl/>
              <w:adjustRightInd w:val="0"/>
              <w:snapToGrid w:val="0"/>
              <w:rPr>
                <w:rFonts w:asciiTheme="minorEastAsia" w:hAnsiTheme="minorEastAsia" w:cstheme="minorEastAsia"/>
                <w:sz w:val="24"/>
                <w:szCs w:val="24"/>
              </w:rPr>
            </w:pPr>
            <w:r>
              <w:rPr>
                <w:rFonts w:asciiTheme="minorEastAsia" w:hAnsiTheme="minorEastAsia"/>
                <w:bCs/>
                <w:sz w:val="24"/>
                <w:szCs w:val="24"/>
              </w:rPr>
              <w:t>56,412.95</w:t>
            </w:r>
            <w:r>
              <w:rPr>
                <w:rFonts w:hint="eastAsia" w:asciiTheme="minorEastAsia" w:hAnsiTheme="minorEastAsia"/>
                <w:bCs/>
                <w:sz w:val="24"/>
                <w:szCs w:val="24"/>
              </w:rPr>
              <w:t>万元</w:t>
            </w:r>
          </w:p>
        </w:tc>
      </w:tr>
      <w:tr w14:paraId="2E9814F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8" w:hRule="atLeast"/>
        </w:trPr>
        <w:tc>
          <w:tcPr>
            <w:tcW w:w="1075" w:type="dxa"/>
            <w:vMerge w:val="continue"/>
            <w:vAlign w:val="center"/>
          </w:tcPr>
          <w:p w14:paraId="7D1F3686">
            <w:pPr>
              <w:widowControl/>
              <w:adjustRightInd w:val="0"/>
              <w:snapToGrid w:val="0"/>
              <w:rPr>
                <w:rFonts w:asciiTheme="minorEastAsia" w:hAnsiTheme="minorEastAsia" w:cstheme="minorEastAsia"/>
                <w:color w:val="000000"/>
                <w:sz w:val="24"/>
                <w:szCs w:val="24"/>
              </w:rPr>
            </w:pPr>
          </w:p>
        </w:tc>
        <w:tc>
          <w:tcPr>
            <w:tcW w:w="3397" w:type="dxa"/>
            <w:vAlign w:val="center"/>
          </w:tcPr>
          <w:p w14:paraId="317BAE3D">
            <w:pPr>
              <w:widowControl/>
              <w:adjustRightInd w:val="0"/>
              <w:snapToGrid w:val="0"/>
              <w:rPr>
                <w:rFonts w:asciiTheme="minorEastAsia" w:hAnsiTheme="minorEastAsia" w:cstheme="minorEastAsia"/>
                <w:color w:val="000000"/>
                <w:sz w:val="24"/>
                <w:szCs w:val="24"/>
              </w:rPr>
            </w:pPr>
            <w:r>
              <w:rPr>
                <w:rFonts w:hint="eastAsia" w:asciiTheme="minorEastAsia" w:hAnsiTheme="minorEastAsia" w:cstheme="minorEastAsia"/>
                <w:color w:val="000000"/>
                <w:kern w:val="0"/>
                <w:sz w:val="24"/>
                <w:szCs w:val="24"/>
              </w:rPr>
              <w:t>是否在前期预计额度内</w:t>
            </w:r>
          </w:p>
        </w:tc>
        <w:tc>
          <w:tcPr>
            <w:tcW w:w="3809" w:type="dxa"/>
            <w:vAlign w:val="center"/>
          </w:tcPr>
          <w:p w14:paraId="70D821DD">
            <w:pPr>
              <w:widowControl/>
              <w:adjustRightInd w:val="0"/>
              <w:snapToGrid w:val="0"/>
              <w:rPr>
                <w:rFonts w:asciiTheme="minorEastAsia" w:hAnsiTheme="minorEastAsia" w:cstheme="minorEastAsia"/>
                <w:sz w:val="24"/>
                <w:szCs w:val="24"/>
              </w:rPr>
            </w:pPr>
            <w:r>
              <w:rPr>
                <w:rFonts w:hint="eastAsia" w:ascii="宋体" w:hAnsi="宋体" w:eastAsia="宋体"/>
                <w:sz w:val="24"/>
                <w:szCs w:val="24"/>
              </w:rPr>
              <w:sym w:font="Wingdings 2" w:char="F052"/>
            </w:r>
            <w:r>
              <w:rPr>
                <w:rFonts w:hint="eastAsia" w:asciiTheme="minorEastAsia" w:hAnsiTheme="minorEastAsia" w:cstheme="minorEastAsia"/>
                <w:sz w:val="24"/>
                <w:szCs w:val="24"/>
              </w:rPr>
              <w:t>是  □否</w:t>
            </w:r>
            <w:r>
              <w:rPr>
                <w:rFonts w:hint="eastAsia" w:asciiTheme="minorEastAsia" w:hAnsiTheme="minorEastAsia" w:cstheme="minorEastAsia"/>
                <w:kern w:val="0"/>
                <w:sz w:val="24"/>
                <w:szCs w:val="24"/>
              </w:rPr>
              <w:t xml:space="preserve">  □不适用：</w:t>
            </w:r>
            <w:r>
              <w:rPr>
                <w:rFonts w:hint="eastAsia" w:ascii="宋体" w:hAnsi="宋体" w:eastAsia="宋体"/>
                <w:sz w:val="24"/>
                <w:szCs w:val="24"/>
              </w:rPr>
              <w:t>_________</w:t>
            </w:r>
          </w:p>
        </w:tc>
      </w:tr>
      <w:tr w14:paraId="0308D9A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04" w:hRule="atLeast"/>
        </w:trPr>
        <w:tc>
          <w:tcPr>
            <w:tcW w:w="1075" w:type="dxa"/>
            <w:vMerge w:val="continue"/>
            <w:vAlign w:val="center"/>
          </w:tcPr>
          <w:p w14:paraId="1B694756">
            <w:pPr>
              <w:widowControl/>
              <w:adjustRightInd w:val="0"/>
              <w:snapToGrid w:val="0"/>
              <w:rPr>
                <w:rFonts w:asciiTheme="minorEastAsia" w:hAnsiTheme="minorEastAsia" w:cstheme="minorEastAsia"/>
                <w:color w:val="000000"/>
                <w:sz w:val="24"/>
                <w:szCs w:val="24"/>
              </w:rPr>
            </w:pPr>
          </w:p>
        </w:tc>
        <w:tc>
          <w:tcPr>
            <w:tcW w:w="3397" w:type="dxa"/>
            <w:vAlign w:val="center"/>
          </w:tcPr>
          <w:p w14:paraId="30E26E88">
            <w:pPr>
              <w:widowControl/>
              <w:adjustRightInd w:val="0"/>
              <w:snapToGrid w:val="0"/>
              <w:rPr>
                <w:rFonts w:asciiTheme="minorEastAsia" w:hAnsiTheme="minorEastAsia" w:cstheme="minorEastAsia"/>
                <w:color w:val="000000"/>
                <w:sz w:val="24"/>
                <w:szCs w:val="24"/>
              </w:rPr>
            </w:pPr>
            <w:r>
              <w:rPr>
                <w:rFonts w:hint="eastAsia" w:asciiTheme="minorEastAsia" w:hAnsiTheme="minorEastAsia" w:cstheme="minorEastAsia"/>
                <w:color w:val="000000"/>
                <w:sz w:val="24"/>
                <w:szCs w:val="24"/>
              </w:rPr>
              <w:t>本次担保是否有反担保</w:t>
            </w:r>
          </w:p>
        </w:tc>
        <w:tc>
          <w:tcPr>
            <w:tcW w:w="3809" w:type="dxa"/>
            <w:vAlign w:val="center"/>
          </w:tcPr>
          <w:p w14:paraId="79B72B66">
            <w:pPr>
              <w:widowControl/>
              <w:adjustRightInd w:val="0"/>
              <w:snapToGrid w:val="0"/>
              <w:rPr>
                <w:rFonts w:asciiTheme="minorEastAsia" w:hAnsiTheme="minorEastAsia" w:cstheme="minorEastAsia"/>
                <w:sz w:val="24"/>
                <w:szCs w:val="24"/>
              </w:rPr>
            </w:pPr>
            <w:r>
              <w:rPr>
                <w:rFonts w:hint="eastAsia" w:ascii="宋体" w:hAnsi="宋体" w:eastAsia="宋体" w:cstheme="minorEastAsia"/>
                <w:sz w:val="24"/>
                <w:szCs w:val="24"/>
              </w:rPr>
              <w:sym w:font="Wingdings 2" w:char="00A3"/>
            </w:r>
            <w:r>
              <w:rPr>
                <w:rFonts w:hint="eastAsia" w:asciiTheme="minorEastAsia" w:hAnsiTheme="minorEastAsia" w:cstheme="minorEastAsia"/>
                <w:sz w:val="24"/>
                <w:szCs w:val="24"/>
              </w:rPr>
              <w:t xml:space="preserve">是  </w:t>
            </w:r>
            <w:r>
              <w:rPr>
                <w:rFonts w:hint="eastAsia" w:asciiTheme="minorEastAsia" w:hAnsiTheme="minorEastAsia" w:cstheme="minorEastAsia"/>
                <w:sz w:val="24"/>
                <w:szCs w:val="24"/>
              </w:rPr>
              <w:sym w:font="Wingdings 2" w:char="0052"/>
            </w:r>
            <w:r>
              <w:rPr>
                <w:rFonts w:hint="eastAsia" w:asciiTheme="minorEastAsia" w:hAnsiTheme="minorEastAsia" w:cstheme="minorEastAsia"/>
                <w:sz w:val="24"/>
                <w:szCs w:val="24"/>
              </w:rPr>
              <w:t>否</w:t>
            </w:r>
            <w:r>
              <w:rPr>
                <w:rFonts w:hint="eastAsia" w:asciiTheme="minorEastAsia" w:hAnsiTheme="minorEastAsia" w:cstheme="minorEastAsia"/>
                <w:kern w:val="0"/>
                <w:sz w:val="24"/>
                <w:szCs w:val="24"/>
              </w:rPr>
              <w:t xml:space="preserve">  □不适用：</w:t>
            </w:r>
            <w:r>
              <w:rPr>
                <w:rFonts w:hint="eastAsia" w:ascii="宋体" w:hAnsi="宋体" w:eastAsia="宋体"/>
                <w:sz w:val="24"/>
                <w:szCs w:val="24"/>
              </w:rPr>
              <w:t>_________</w:t>
            </w:r>
          </w:p>
        </w:tc>
      </w:tr>
      <w:bookmarkEnd w:id="2"/>
      <w:tr w14:paraId="76F48D6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04" w:hRule="atLeast"/>
        </w:trPr>
        <w:tc>
          <w:tcPr>
            <w:tcW w:w="1075" w:type="dxa"/>
            <w:vMerge w:val="restart"/>
            <w:vAlign w:val="center"/>
          </w:tcPr>
          <w:p w14:paraId="26849811">
            <w:pPr>
              <w:widowControl/>
              <w:adjustRightInd w:val="0"/>
              <w:snapToGrid w:val="0"/>
              <w:rPr>
                <w:rFonts w:asciiTheme="minorEastAsia" w:hAnsiTheme="minorEastAsia" w:cstheme="minorEastAsia"/>
                <w:color w:val="000000"/>
                <w:sz w:val="24"/>
                <w:szCs w:val="24"/>
              </w:rPr>
            </w:pPr>
            <w:r>
              <w:rPr>
                <w:rFonts w:hint="eastAsia" w:asciiTheme="minorEastAsia" w:hAnsiTheme="minorEastAsia" w:cstheme="minorEastAsia"/>
                <w:b/>
                <w:bCs/>
                <w:color w:val="000000"/>
                <w:kern w:val="0"/>
                <w:sz w:val="24"/>
                <w:szCs w:val="24"/>
              </w:rPr>
              <w:t>担保对象 二</w:t>
            </w:r>
          </w:p>
        </w:tc>
        <w:tc>
          <w:tcPr>
            <w:tcW w:w="3397" w:type="dxa"/>
            <w:vAlign w:val="center"/>
          </w:tcPr>
          <w:p w14:paraId="47CA9639">
            <w:pPr>
              <w:widowControl/>
              <w:adjustRightInd w:val="0"/>
              <w:snapToGrid w:val="0"/>
              <w:rPr>
                <w:rFonts w:asciiTheme="minorEastAsia" w:hAnsiTheme="minorEastAsia" w:cstheme="minorEastAsia"/>
                <w:color w:val="000000"/>
                <w:sz w:val="24"/>
                <w:szCs w:val="24"/>
              </w:rPr>
            </w:pPr>
            <w:r>
              <w:rPr>
                <w:rFonts w:hint="eastAsia" w:asciiTheme="minorEastAsia" w:hAnsiTheme="minorEastAsia" w:cstheme="minorEastAsia"/>
                <w:color w:val="000000"/>
                <w:kern w:val="0"/>
                <w:sz w:val="24"/>
                <w:szCs w:val="24"/>
              </w:rPr>
              <w:t>被担保人名称</w:t>
            </w:r>
          </w:p>
        </w:tc>
        <w:tc>
          <w:tcPr>
            <w:tcW w:w="3809" w:type="dxa"/>
            <w:vAlign w:val="center"/>
          </w:tcPr>
          <w:p w14:paraId="41F1DE93">
            <w:pPr>
              <w:widowControl/>
              <w:adjustRightInd w:val="0"/>
              <w:snapToGrid w:val="0"/>
              <w:rPr>
                <w:rFonts w:ascii="宋体" w:hAnsi="宋体" w:eastAsia="宋体" w:cstheme="minorEastAsia"/>
                <w:sz w:val="24"/>
                <w:szCs w:val="24"/>
              </w:rPr>
            </w:pPr>
            <w:r>
              <w:rPr>
                <w:rFonts w:hint="eastAsia" w:ascii="宋体" w:hAnsi="宋体" w:eastAsia="宋体" w:cstheme="minorEastAsia"/>
                <w:sz w:val="24"/>
                <w:szCs w:val="24"/>
              </w:rPr>
              <w:t>重庆惠泽电器有限公司（以下简称“惠泽电器”）</w:t>
            </w:r>
          </w:p>
        </w:tc>
      </w:tr>
      <w:tr w14:paraId="277E9C8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04" w:hRule="atLeast"/>
        </w:trPr>
        <w:tc>
          <w:tcPr>
            <w:tcW w:w="1075" w:type="dxa"/>
            <w:vMerge w:val="continue"/>
            <w:vAlign w:val="center"/>
          </w:tcPr>
          <w:p w14:paraId="35974F02">
            <w:pPr>
              <w:widowControl/>
              <w:adjustRightInd w:val="0"/>
              <w:snapToGrid w:val="0"/>
              <w:rPr>
                <w:rFonts w:asciiTheme="minorEastAsia" w:hAnsiTheme="minorEastAsia" w:cstheme="minorEastAsia"/>
                <w:color w:val="000000"/>
                <w:sz w:val="24"/>
                <w:szCs w:val="24"/>
              </w:rPr>
            </w:pPr>
          </w:p>
        </w:tc>
        <w:tc>
          <w:tcPr>
            <w:tcW w:w="3397" w:type="dxa"/>
            <w:vAlign w:val="center"/>
          </w:tcPr>
          <w:p w14:paraId="08BEC26B">
            <w:pPr>
              <w:widowControl/>
              <w:adjustRightInd w:val="0"/>
              <w:snapToGrid w:val="0"/>
              <w:rPr>
                <w:rFonts w:asciiTheme="minorEastAsia" w:hAnsiTheme="minorEastAsia" w:cstheme="minorEastAsia"/>
                <w:color w:val="000000"/>
                <w:sz w:val="24"/>
                <w:szCs w:val="24"/>
              </w:rPr>
            </w:pPr>
            <w:r>
              <w:rPr>
                <w:rFonts w:hint="eastAsia" w:asciiTheme="minorEastAsia" w:hAnsiTheme="minorEastAsia" w:cstheme="minorEastAsia"/>
                <w:color w:val="000000"/>
                <w:kern w:val="0"/>
                <w:sz w:val="24"/>
                <w:szCs w:val="24"/>
              </w:rPr>
              <w:t>本次担保金额</w:t>
            </w:r>
          </w:p>
        </w:tc>
        <w:tc>
          <w:tcPr>
            <w:tcW w:w="380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9352950">
            <w:pPr>
              <w:widowControl/>
              <w:adjustRightInd w:val="0"/>
              <w:snapToGrid w:val="0"/>
              <w:rPr>
                <w:rFonts w:ascii="宋体" w:hAnsi="宋体" w:eastAsia="宋体" w:cstheme="minorEastAsia"/>
                <w:sz w:val="24"/>
                <w:szCs w:val="24"/>
              </w:rPr>
            </w:pPr>
            <w:r>
              <w:rPr>
                <w:rFonts w:hint="eastAsia" w:asciiTheme="minorEastAsia" w:hAnsiTheme="minorEastAsia"/>
                <w:bCs/>
                <w:sz w:val="24"/>
                <w:szCs w:val="24"/>
              </w:rPr>
              <w:t>1</w:t>
            </w:r>
            <w:r>
              <w:rPr>
                <w:rFonts w:asciiTheme="minorEastAsia" w:hAnsiTheme="minorEastAsia"/>
                <w:bCs/>
                <w:sz w:val="24"/>
                <w:szCs w:val="24"/>
              </w:rPr>
              <w:t>,000.00</w:t>
            </w:r>
            <w:r>
              <w:rPr>
                <w:rFonts w:hint="eastAsia" w:asciiTheme="minorEastAsia" w:hAnsiTheme="minorEastAsia"/>
                <w:bCs/>
                <w:sz w:val="24"/>
                <w:szCs w:val="24"/>
              </w:rPr>
              <w:t>万元</w:t>
            </w:r>
          </w:p>
        </w:tc>
      </w:tr>
      <w:tr w14:paraId="31B11BE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04" w:hRule="atLeast"/>
        </w:trPr>
        <w:tc>
          <w:tcPr>
            <w:tcW w:w="1075" w:type="dxa"/>
            <w:vMerge w:val="continue"/>
            <w:vAlign w:val="center"/>
          </w:tcPr>
          <w:p w14:paraId="1A92639B">
            <w:pPr>
              <w:widowControl/>
              <w:adjustRightInd w:val="0"/>
              <w:snapToGrid w:val="0"/>
              <w:rPr>
                <w:rFonts w:asciiTheme="minorEastAsia" w:hAnsiTheme="minorEastAsia" w:cstheme="minorEastAsia"/>
                <w:color w:val="000000"/>
                <w:sz w:val="24"/>
                <w:szCs w:val="24"/>
              </w:rPr>
            </w:pPr>
          </w:p>
        </w:tc>
        <w:tc>
          <w:tcPr>
            <w:tcW w:w="3397" w:type="dxa"/>
            <w:vAlign w:val="center"/>
          </w:tcPr>
          <w:p w14:paraId="7D03EE4C">
            <w:pPr>
              <w:widowControl/>
              <w:adjustRightInd w:val="0"/>
              <w:snapToGrid w:val="0"/>
              <w:rPr>
                <w:rFonts w:asciiTheme="minorEastAsia" w:hAnsiTheme="minorEastAsia" w:cstheme="minorEastAsia"/>
                <w:color w:val="000000"/>
                <w:sz w:val="24"/>
                <w:szCs w:val="24"/>
              </w:rPr>
            </w:pPr>
            <w:r>
              <w:rPr>
                <w:rFonts w:hint="eastAsia" w:asciiTheme="minorEastAsia" w:hAnsiTheme="minorEastAsia" w:cstheme="minorEastAsia"/>
                <w:color w:val="000000"/>
                <w:kern w:val="0"/>
                <w:sz w:val="24"/>
                <w:szCs w:val="24"/>
              </w:rPr>
              <w:t>实际为其提供的担保余额</w:t>
            </w:r>
          </w:p>
        </w:tc>
        <w:tc>
          <w:tcPr>
            <w:tcW w:w="380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1AD9D445">
            <w:pPr>
              <w:widowControl/>
              <w:adjustRightInd w:val="0"/>
              <w:snapToGrid w:val="0"/>
              <w:rPr>
                <w:rFonts w:ascii="宋体" w:hAnsi="宋体" w:eastAsia="宋体" w:cstheme="minorEastAsia"/>
                <w:sz w:val="24"/>
                <w:szCs w:val="24"/>
              </w:rPr>
            </w:pPr>
            <w:r>
              <w:rPr>
                <w:rFonts w:hint="eastAsia" w:asciiTheme="minorEastAsia" w:hAnsiTheme="minorEastAsia"/>
                <w:bCs/>
                <w:sz w:val="24"/>
                <w:szCs w:val="24"/>
              </w:rPr>
              <w:t>1,000.19万元</w:t>
            </w:r>
          </w:p>
        </w:tc>
      </w:tr>
      <w:tr w14:paraId="46BC6CC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04" w:hRule="atLeast"/>
        </w:trPr>
        <w:tc>
          <w:tcPr>
            <w:tcW w:w="1075" w:type="dxa"/>
            <w:vMerge w:val="continue"/>
            <w:vAlign w:val="center"/>
          </w:tcPr>
          <w:p w14:paraId="1DD42BA3">
            <w:pPr>
              <w:widowControl/>
              <w:adjustRightInd w:val="0"/>
              <w:snapToGrid w:val="0"/>
              <w:rPr>
                <w:rFonts w:asciiTheme="minorEastAsia" w:hAnsiTheme="minorEastAsia" w:cstheme="minorEastAsia"/>
                <w:color w:val="000000"/>
                <w:sz w:val="24"/>
                <w:szCs w:val="24"/>
              </w:rPr>
            </w:pPr>
          </w:p>
        </w:tc>
        <w:tc>
          <w:tcPr>
            <w:tcW w:w="3397" w:type="dxa"/>
            <w:vAlign w:val="center"/>
          </w:tcPr>
          <w:p w14:paraId="6F9AE00F">
            <w:pPr>
              <w:widowControl/>
              <w:adjustRightInd w:val="0"/>
              <w:snapToGrid w:val="0"/>
              <w:rPr>
                <w:rFonts w:asciiTheme="minorEastAsia" w:hAnsiTheme="minorEastAsia" w:cstheme="minorEastAsia"/>
                <w:color w:val="000000"/>
                <w:sz w:val="24"/>
                <w:szCs w:val="24"/>
              </w:rPr>
            </w:pPr>
            <w:r>
              <w:rPr>
                <w:rFonts w:hint="eastAsia" w:asciiTheme="minorEastAsia" w:hAnsiTheme="minorEastAsia" w:cstheme="minorEastAsia"/>
                <w:color w:val="000000"/>
                <w:kern w:val="0"/>
                <w:sz w:val="24"/>
                <w:szCs w:val="24"/>
              </w:rPr>
              <w:t>是否在前期预计额度内</w:t>
            </w:r>
          </w:p>
        </w:tc>
        <w:tc>
          <w:tcPr>
            <w:tcW w:w="380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2392831B">
            <w:pPr>
              <w:widowControl/>
              <w:adjustRightInd w:val="0"/>
              <w:snapToGrid w:val="0"/>
              <w:rPr>
                <w:rFonts w:ascii="宋体" w:hAnsi="宋体" w:eastAsia="宋体" w:cstheme="minorEastAsia"/>
                <w:sz w:val="24"/>
                <w:szCs w:val="24"/>
              </w:rPr>
            </w:pPr>
            <w:r>
              <w:rPr>
                <w:rFonts w:ascii="宋体" w:hAnsi="宋体" w:eastAsia="宋体"/>
                <w:sz w:val="24"/>
                <w:szCs w:val="24"/>
              </w:rPr>
              <w:sym w:font="Wingdings 2" w:char="F052"/>
            </w:r>
            <w:r>
              <w:rPr>
                <w:rFonts w:hint="eastAsia" w:asciiTheme="minorEastAsia" w:hAnsiTheme="minorEastAsia" w:cstheme="minorEastAsia"/>
                <w:sz w:val="24"/>
                <w:szCs w:val="24"/>
              </w:rPr>
              <w:t>是  □否</w:t>
            </w:r>
            <w:r>
              <w:rPr>
                <w:rFonts w:hint="eastAsia" w:asciiTheme="minorEastAsia" w:hAnsiTheme="minorEastAsia" w:cstheme="minorEastAsia"/>
                <w:kern w:val="0"/>
                <w:sz w:val="24"/>
                <w:szCs w:val="24"/>
              </w:rPr>
              <w:t xml:space="preserve">  □不适用：</w:t>
            </w:r>
            <w:r>
              <w:rPr>
                <w:rFonts w:hint="eastAsia" w:ascii="宋体" w:hAnsi="宋体" w:eastAsia="宋体"/>
                <w:sz w:val="24"/>
                <w:szCs w:val="24"/>
              </w:rPr>
              <w:t>_________</w:t>
            </w:r>
          </w:p>
        </w:tc>
      </w:tr>
      <w:tr w14:paraId="36A9C5E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04" w:hRule="atLeast"/>
        </w:trPr>
        <w:tc>
          <w:tcPr>
            <w:tcW w:w="1075" w:type="dxa"/>
            <w:vMerge w:val="continue"/>
            <w:vAlign w:val="center"/>
          </w:tcPr>
          <w:p w14:paraId="0D270D54">
            <w:pPr>
              <w:widowControl/>
              <w:adjustRightInd w:val="0"/>
              <w:snapToGrid w:val="0"/>
              <w:rPr>
                <w:rFonts w:asciiTheme="minorEastAsia" w:hAnsiTheme="minorEastAsia" w:cstheme="minorEastAsia"/>
                <w:color w:val="000000"/>
                <w:sz w:val="24"/>
                <w:szCs w:val="24"/>
              </w:rPr>
            </w:pPr>
          </w:p>
        </w:tc>
        <w:tc>
          <w:tcPr>
            <w:tcW w:w="3397" w:type="dxa"/>
            <w:vAlign w:val="center"/>
          </w:tcPr>
          <w:p w14:paraId="2E370085">
            <w:pPr>
              <w:widowControl/>
              <w:adjustRightInd w:val="0"/>
              <w:snapToGrid w:val="0"/>
              <w:rPr>
                <w:rFonts w:asciiTheme="minorEastAsia" w:hAnsiTheme="minorEastAsia" w:cstheme="minorEastAsia"/>
                <w:color w:val="000000"/>
                <w:sz w:val="24"/>
                <w:szCs w:val="24"/>
              </w:rPr>
            </w:pPr>
            <w:r>
              <w:rPr>
                <w:rFonts w:hint="eastAsia" w:asciiTheme="minorEastAsia" w:hAnsiTheme="minorEastAsia" w:cstheme="minorEastAsia"/>
                <w:color w:val="000000"/>
                <w:sz w:val="24"/>
                <w:szCs w:val="24"/>
              </w:rPr>
              <w:t>本次担保是否有反担保</w:t>
            </w:r>
          </w:p>
        </w:tc>
        <w:tc>
          <w:tcPr>
            <w:tcW w:w="380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14:paraId="0F1BC037">
            <w:pPr>
              <w:widowControl/>
              <w:adjustRightInd w:val="0"/>
              <w:snapToGrid w:val="0"/>
              <w:rPr>
                <w:rFonts w:ascii="宋体" w:hAnsi="宋体" w:eastAsia="宋体" w:cstheme="minorEastAsia"/>
                <w:sz w:val="24"/>
                <w:szCs w:val="24"/>
              </w:rPr>
            </w:pPr>
            <w:r>
              <w:rPr>
                <w:rFonts w:ascii="宋体" w:hAnsi="宋体" w:eastAsia="宋体" w:cstheme="minorEastAsia"/>
                <w:sz w:val="24"/>
                <w:szCs w:val="24"/>
              </w:rPr>
              <w:sym w:font="Wingdings 2" w:char="F0A3"/>
            </w:r>
            <w:r>
              <w:rPr>
                <w:rFonts w:hint="eastAsia" w:asciiTheme="minorEastAsia" w:hAnsiTheme="minorEastAsia" w:cstheme="minorEastAsia"/>
                <w:sz w:val="24"/>
                <w:szCs w:val="24"/>
              </w:rPr>
              <w:t xml:space="preserve">是  </w:t>
            </w:r>
            <w:r>
              <w:rPr>
                <w:rFonts w:asciiTheme="minorEastAsia" w:hAnsiTheme="minorEastAsia" w:cstheme="minorEastAsia"/>
                <w:sz w:val="24"/>
                <w:szCs w:val="24"/>
              </w:rPr>
              <w:sym w:font="Wingdings 2" w:char="F052"/>
            </w:r>
            <w:r>
              <w:rPr>
                <w:rFonts w:hint="eastAsia" w:asciiTheme="minorEastAsia" w:hAnsiTheme="minorEastAsia" w:cstheme="minorEastAsia"/>
                <w:sz w:val="24"/>
                <w:szCs w:val="24"/>
              </w:rPr>
              <w:t>否</w:t>
            </w:r>
            <w:r>
              <w:rPr>
                <w:rFonts w:hint="eastAsia" w:asciiTheme="minorEastAsia" w:hAnsiTheme="minorEastAsia" w:cstheme="minorEastAsia"/>
                <w:kern w:val="0"/>
                <w:sz w:val="24"/>
                <w:szCs w:val="24"/>
              </w:rPr>
              <w:t xml:space="preserve">  □不适用：</w:t>
            </w:r>
            <w:r>
              <w:rPr>
                <w:rFonts w:hint="eastAsia" w:ascii="宋体" w:hAnsi="宋体" w:eastAsia="宋体"/>
                <w:sz w:val="24"/>
                <w:szCs w:val="24"/>
              </w:rPr>
              <w:t>_________</w:t>
            </w:r>
          </w:p>
        </w:tc>
      </w:tr>
    </w:tbl>
    <w:p w14:paraId="208E4C03"/>
    <w:p w14:paraId="00387C7D">
      <w:pPr>
        <w:widowControl/>
        <w:numPr>
          <w:ilvl w:val="0"/>
          <w:numId w:val="1"/>
        </w:numPr>
        <w:adjustRightInd w:val="0"/>
        <w:snapToGrid w:val="0"/>
        <w:spacing w:line="560" w:lineRule="exact"/>
        <w:ind w:left="0" w:firstLine="482" w:firstLineChars="200"/>
        <w:jc w:val="left"/>
        <w:rPr>
          <w:rFonts w:asciiTheme="minorEastAsia" w:hAnsiTheme="minorEastAsia" w:cstheme="minorEastAsia"/>
          <w:b/>
          <w:bCs/>
          <w:sz w:val="24"/>
          <w:szCs w:val="24"/>
        </w:rPr>
      </w:pPr>
      <w:r>
        <w:rPr>
          <w:rFonts w:hint="eastAsia" w:asciiTheme="minorEastAsia" w:hAnsiTheme="minorEastAsia" w:cstheme="minorEastAsia"/>
          <w:b/>
          <w:bCs/>
          <w:sz w:val="24"/>
          <w:szCs w:val="24"/>
        </w:rPr>
        <w:t>累计担保情况</w:t>
      </w:r>
    </w:p>
    <w:tbl>
      <w:tblPr>
        <w:tblStyle w:val="12"/>
        <w:tblW w:w="4990" w:type="pct"/>
        <w:tblInd w:w="1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642"/>
        <w:gridCol w:w="4863"/>
      </w:tblGrid>
      <w:tr w14:paraId="5E533EB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3" w:hRule="atLeast"/>
        </w:trPr>
        <w:tc>
          <w:tcPr>
            <w:tcW w:w="3642" w:type="dxa"/>
            <w:vAlign w:val="center"/>
          </w:tcPr>
          <w:p w14:paraId="120C85AE">
            <w:pPr>
              <w:widowControl/>
              <w:adjustRightInd w:val="0"/>
              <w:snapToGrid w:val="0"/>
              <w:rPr>
                <w:rFonts w:asciiTheme="minorEastAsia" w:hAnsiTheme="minorEastAsia" w:cstheme="minorEastAsia"/>
                <w:b/>
                <w:bCs/>
                <w:sz w:val="24"/>
                <w:szCs w:val="24"/>
              </w:rPr>
            </w:pPr>
            <w:r>
              <w:rPr>
                <w:rFonts w:hint="eastAsia" w:asciiTheme="minorEastAsia" w:hAnsiTheme="minorEastAsia" w:cstheme="minorEastAsia"/>
                <w:b/>
                <w:bCs/>
                <w:color w:val="000000"/>
                <w:kern w:val="0"/>
                <w:sz w:val="24"/>
                <w:szCs w:val="24"/>
              </w:rPr>
              <w:t>对外担保逾期的累计金额（万元）</w:t>
            </w:r>
          </w:p>
        </w:tc>
        <w:tc>
          <w:tcPr>
            <w:tcW w:w="4863" w:type="dxa"/>
            <w:vAlign w:val="center"/>
          </w:tcPr>
          <w:p w14:paraId="05711585">
            <w:pPr>
              <w:widowControl/>
              <w:adjustRightInd w:val="0"/>
              <w:snapToGrid w:val="0"/>
              <w:jc w:val="right"/>
              <w:rPr>
                <w:rFonts w:asciiTheme="minorEastAsia" w:hAnsiTheme="minorEastAsia" w:cstheme="minorEastAsia"/>
                <w:sz w:val="24"/>
                <w:szCs w:val="24"/>
              </w:rPr>
            </w:pPr>
            <w:r>
              <w:rPr>
                <w:rFonts w:hint="eastAsia" w:asciiTheme="minorEastAsia" w:hAnsiTheme="minorEastAsia" w:cstheme="minorEastAsia"/>
                <w:sz w:val="24"/>
                <w:szCs w:val="24"/>
              </w:rPr>
              <w:t>0.00</w:t>
            </w:r>
          </w:p>
        </w:tc>
      </w:tr>
      <w:tr w14:paraId="7861DA8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2" w:hRule="atLeast"/>
        </w:trPr>
        <w:tc>
          <w:tcPr>
            <w:tcW w:w="3642" w:type="dxa"/>
            <w:vAlign w:val="center"/>
          </w:tcPr>
          <w:p w14:paraId="3A9A466F">
            <w:pPr>
              <w:widowControl/>
              <w:adjustRightInd w:val="0"/>
              <w:snapToGrid w:val="0"/>
              <w:rPr>
                <w:rFonts w:asciiTheme="minorEastAsia" w:hAnsiTheme="minorEastAsia" w:cstheme="minorEastAsia"/>
                <w:b/>
                <w:bCs/>
                <w:color w:val="000000"/>
                <w:kern w:val="0"/>
                <w:sz w:val="24"/>
                <w:szCs w:val="24"/>
              </w:rPr>
            </w:pPr>
            <w:r>
              <w:rPr>
                <w:rFonts w:hint="eastAsia" w:asciiTheme="minorEastAsia" w:hAnsiTheme="minorEastAsia" w:cstheme="minorEastAsia"/>
                <w:b/>
                <w:bCs/>
                <w:color w:val="000000"/>
                <w:kern w:val="0"/>
                <w:sz w:val="24"/>
                <w:szCs w:val="24"/>
              </w:rPr>
              <w:t>截至</w:t>
            </w:r>
            <w:r>
              <w:rPr>
                <w:rFonts w:asciiTheme="minorEastAsia" w:hAnsiTheme="minorEastAsia" w:cstheme="minorEastAsia"/>
                <w:b/>
                <w:bCs/>
                <w:color w:val="000000"/>
                <w:kern w:val="0"/>
                <w:sz w:val="24"/>
                <w:szCs w:val="24"/>
              </w:rPr>
              <w:t>9</w:t>
            </w:r>
            <w:r>
              <w:rPr>
                <w:rFonts w:hint="eastAsia" w:asciiTheme="minorEastAsia" w:hAnsiTheme="minorEastAsia" w:cstheme="minorEastAsia"/>
                <w:b/>
                <w:bCs/>
                <w:color w:val="000000"/>
                <w:kern w:val="0"/>
                <w:sz w:val="24"/>
                <w:szCs w:val="24"/>
              </w:rPr>
              <w:t>月末上市公司及其控股子公司对外担保总额（万元）</w:t>
            </w:r>
          </w:p>
        </w:tc>
        <w:tc>
          <w:tcPr>
            <w:tcW w:w="4863" w:type="dxa"/>
            <w:vAlign w:val="center"/>
          </w:tcPr>
          <w:p w14:paraId="4B8CECB6">
            <w:pPr>
              <w:widowControl/>
              <w:adjustRightInd w:val="0"/>
              <w:snapToGrid w:val="0"/>
              <w:jc w:val="right"/>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105,674.10</w:t>
            </w:r>
            <w:r>
              <w:rPr>
                <w:rFonts w:hint="eastAsia" w:asciiTheme="minorEastAsia" w:hAnsiTheme="minorEastAsia" w:cstheme="minorEastAsia"/>
                <w:color w:val="000000"/>
                <w:kern w:val="0"/>
                <w:sz w:val="24"/>
                <w:szCs w:val="24"/>
              </w:rPr>
              <w:t xml:space="preserve">  </w:t>
            </w:r>
          </w:p>
        </w:tc>
      </w:tr>
      <w:tr w14:paraId="2C35DB6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98" w:hRule="atLeast"/>
        </w:trPr>
        <w:tc>
          <w:tcPr>
            <w:tcW w:w="3642" w:type="dxa"/>
            <w:vAlign w:val="center"/>
          </w:tcPr>
          <w:p w14:paraId="5D097A22">
            <w:pPr>
              <w:widowControl/>
              <w:adjustRightInd w:val="0"/>
              <w:snapToGrid w:val="0"/>
              <w:rPr>
                <w:rFonts w:asciiTheme="minorEastAsia" w:hAnsiTheme="minorEastAsia" w:cstheme="minorEastAsia"/>
                <w:b/>
                <w:bCs/>
                <w:color w:val="000000"/>
                <w:kern w:val="0"/>
                <w:sz w:val="24"/>
                <w:szCs w:val="24"/>
              </w:rPr>
            </w:pPr>
            <w:r>
              <w:rPr>
                <w:rFonts w:hint="eastAsia" w:asciiTheme="minorEastAsia" w:hAnsiTheme="minorEastAsia" w:cstheme="minorEastAsia"/>
                <w:b/>
                <w:bCs/>
                <w:color w:val="000000"/>
                <w:kern w:val="0"/>
                <w:sz w:val="24"/>
                <w:szCs w:val="24"/>
              </w:rPr>
              <w:t>对外担保总额占上市公司最近一期经审计净资产的比例（%）</w:t>
            </w:r>
          </w:p>
        </w:tc>
        <w:tc>
          <w:tcPr>
            <w:tcW w:w="4863" w:type="dxa"/>
            <w:vAlign w:val="center"/>
          </w:tcPr>
          <w:p w14:paraId="4F9F4564">
            <w:pPr>
              <w:widowControl/>
              <w:adjustRightInd w:val="0"/>
              <w:snapToGrid w:val="0"/>
              <w:jc w:val="right"/>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43.79</w:t>
            </w:r>
          </w:p>
        </w:tc>
      </w:tr>
      <w:tr w14:paraId="2A86B33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98" w:hRule="atLeast"/>
        </w:trPr>
        <w:tc>
          <w:tcPr>
            <w:tcW w:w="3642" w:type="dxa"/>
            <w:vAlign w:val="center"/>
          </w:tcPr>
          <w:p w14:paraId="292EE299">
            <w:pPr>
              <w:widowControl/>
              <w:adjustRightInd w:val="0"/>
              <w:snapToGrid w:val="0"/>
              <w:rPr>
                <w:rFonts w:asciiTheme="minorEastAsia" w:hAnsiTheme="minorEastAsia" w:cstheme="minorEastAsia"/>
                <w:b/>
                <w:bCs/>
                <w:color w:val="000000"/>
                <w:kern w:val="0"/>
                <w:sz w:val="24"/>
                <w:szCs w:val="24"/>
              </w:rPr>
            </w:pPr>
            <w:r>
              <w:rPr>
                <w:rFonts w:hint="eastAsia" w:asciiTheme="minorEastAsia" w:hAnsiTheme="minorEastAsia" w:cstheme="minorEastAsia"/>
                <w:b/>
                <w:bCs/>
                <w:color w:val="000000"/>
                <w:kern w:val="0"/>
                <w:sz w:val="24"/>
                <w:szCs w:val="24"/>
              </w:rPr>
              <w:t>特别风险提示（如有请勾选）</w:t>
            </w:r>
          </w:p>
        </w:tc>
        <w:tc>
          <w:tcPr>
            <w:tcW w:w="4863" w:type="dxa"/>
            <w:vAlign w:val="center"/>
          </w:tcPr>
          <w:p w14:paraId="06B7DBCE">
            <w:pPr>
              <w:widowControl/>
              <w:adjustRightInd w:val="0"/>
              <w:snapToGrid w:val="0"/>
              <w:rPr>
                <w:rFonts w:asciiTheme="minorEastAsia" w:hAnsiTheme="minorEastAsia" w:cstheme="minorEastAsia"/>
                <w:color w:val="000000"/>
                <w:kern w:val="0"/>
                <w:sz w:val="24"/>
                <w:szCs w:val="24"/>
              </w:rPr>
            </w:pPr>
            <w:r>
              <w:rPr>
                <w:rFonts w:hint="eastAsia" w:asciiTheme="minorEastAsia" w:hAnsiTheme="minorEastAsia" w:cstheme="minorEastAsia"/>
                <w:color w:val="000000"/>
                <w:sz w:val="24"/>
                <w:szCs w:val="24"/>
              </w:rPr>
              <w:t>□</w:t>
            </w:r>
            <w:r>
              <w:rPr>
                <w:rFonts w:hint="eastAsia" w:asciiTheme="minorEastAsia" w:hAnsiTheme="minorEastAsia" w:cstheme="minorEastAsia"/>
                <w:color w:val="000000"/>
                <w:kern w:val="0"/>
                <w:sz w:val="24"/>
                <w:szCs w:val="24"/>
              </w:rPr>
              <w:t>对外担保总额超过最近一期经审计净资产100%</w:t>
            </w:r>
          </w:p>
          <w:p w14:paraId="5678279B">
            <w:pPr>
              <w:widowControl/>
              <w:adjustRightInd w:val="0"/>
              <w:snapToGrid w:val="0"/>
              <w:rPr>
                <w:rFonts w:asciiTheme="minorEastAsia" w:hAnsiTheme="minorEastAsia" w:cstheme="minorEastAsia"/>
                <w:color w:val="000000"/>
                <w:kern w:val="0"/>
                <w:sz w:val="24"/>
                <w:szCs w:val="24"/>
              </w:rPr>
            </w:pPr>
            <w:r>
              <w:rPr>
                <w:rFonts w:hint="eastAsia" w:asciiTheme="minorEastAsia" w:hAnsiTheme="minorEastAsia" w:cstheme="minorEastAsia"/>
                <w:color w:val="000000"/>
                <w:sz w:val="24"/>
                <w:szCs w:val="24"/>
              </w:rPr>
              <w:t>□</w:t>
            </w:r>
            <w:r>
              <w:rPr>
                <w:rFonts w:hint="eastAsia" w:asciiTheme="minorEastAsia" w:hAnsiTheme="minorEastAsia" w:cstheme="minorEastAsia"/>
                <w:color w:val="000000"/>
                <w:kern w:val="0"/>
                <w:sz w:val="24"/>
                <w:szCs w:val="24"/>
              </w:rPr>
              <w:t>担保金额超过上市公司最近一期经审计净资产50%</w:t>
            </w:r>
          </w:p>
          <w:p w14:paraId="5A9440DF">
            <w:pPr>
              <w:widowControl/>
              <w:adjustRightInd w:val="0"/>
              <w:snapToGrid w:val="0"/>
              <w:rPr>
                <w:rFonts w:asciiTheme="minorEastAsia" w:hAnsiTheme="minorEastAsia" w:cstheme="minorEastAsia"/>
                <w:color w:val="000000"/>
                <w:kern w:val="0"/>
                <w:sz w:val="24"/>
                <w:szCs w:val="24"/>
              </w:rPr>
            </w:pPr>
            <w:bookmarkStart w:id="3" w:name="OLE_LINK4"/>
            <w:bookmarkStart w:id="4" w:name="OLE_LINK3"/>
            <w:r>
              <w:rPr>
                <w:rFonts w:hint="eastAsia" w:asciiTheme="minorEastAsia" w:hAnsiTheme="minorEastAsia" w:cstheme="minorEastAsia"/>
                <w:color w:val="000000"/>
                <w:sz w:val="24"/>
                <w:szCs w:val="24"/>
              </w:rPr>
              <w:t>□</w:t>
            </w:r>
            <w:bookmarkEnd w:id="3"/>
            <w:bookmarkEnd w:id="4"/>
            <w:r>
              <w:rPr>
                <w:rFonts w:hint="eastAsia" w:asciiTheme="minorEastAsia" w:hAnsiTheme="minorEastAsia" w:cstheme="minorEastAsia"/>
                <w:color w:val="000000"/>
                <w:kern w:val="0"/>
                <w:sz w:val="24"/>
                <w:szCs w:val="24"/>
              </w:rPr>
              <w:t>对合并报表外单位担保金额达到或超过最近一期经审计净资产30%的情况下</w:t>
            </w:r>
          </w:p>
          <w:p w14:paraId="04898382">
            <w:pPr>
              <w:widowControl/>
              <w:adjustRightInd w:val="0"/>
              <w:snapToGrid w:val="0"/>
              <w:rPr>
                <w:rFonts w:asciiTheme="minorEastAsia" w:hAnsiTheme="minorEastAsia" w:cstheme="minorEastAsia"/>
                <w:color w:val="000000"/>
                <w:sz w:val="24"/>
                <w:szCs w:val="24"/>
              </w:rPr>
            </w:pPr>
            <w:r>
              <w:rPr>
                <w:rFonts w:hint="eastAsia" w:asciiTheme="minorEastAsia" w:hAnsiTheme="minorEastAsia" w:cstheme="minorEastAsia"/>
                <w:color w:val="000000"/>
                <w:sz w:val="24"/>
                <w:szCs w:val="24"/>
              </w:rPr>
              <w:t>□</w:t>
            </w:r>
            <w:r>
              <w:rPr>
                <w:rFonts w:hint="eastAsia" w:asciiTheme="minorEastAsia" w:hAnsiTheme="minorEastAsia" w:cstheme="minorEastAsia"/>
                <w:color w:val="000000"/>
                <w:kern w:val="0"/>
                <w:sz w:val="24"/>
                <w:szCs w:val="24"/>
              </w:rPr>
              <w:t>对资产负债率超过70%的单位提供担保</w:t>
            </w:r>
          </w:p>
        </w:tc>
      </w:tr>
      <w:tr w14:paraId="29FE560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73" w:hRule="atLeast"/>
        </w:trPr>
        <w:tc>
          <w:tcPr>
            <w:tcW w:w="3642" w:type="dxa"/>
            <w:vAlign w:val="center"/>
          </w:tcPr>
          <w:p w14:paraId="0C955C02">
            <w:pPr>
              <w:widowControl/>
              <w:adjustRightInd w:val="0"/>
              <w:snapToGrid w:val="0"/>
              <w:rPr>
                <w:rFonts w:asciiTheme="minorEastAsia" w:hAnsiTheme="minorEastAsia" w:cstheme="minorEastAsia"/>
                <w:b/>
                <w:bCs/>
                <w:color w:val="000000"/>
                <w:kern w:val="0"/>
                <w:sz w:val="24"/>
                <w:szCs w:val="24"/>
              </w:rPr>
            </w:pPr>
            <w:r>
              <w:rPr>
                <w:rFonts w:hint="eastAsia" w:asciiTheme="minorEastAsia" w:hAnsiTheme="minorEastAsia" w:cstheme="minorEastAsia"/>
                <w:b/>
                <w:bCs/>
                <w:color w:val="000000"/>
                <w:kern w:val="0"/>
                <w:sz w:val="24"/>
                <w:szCs w:val="24"/>
              </w:rPr>
              <w:t>其他风险提示（如有）</w:t>
            </w:r>
          </w:p>
        </w:tc>
        <w:tc>
          <w:tcPr>
            <w:tcW w:w="4863" w:type="dxa"/>
            <w:vAlign w:val="center"/>
          </w:tcPr>
          <w:p w14:paraId="58F78035">
            <w:pPr>
              <w:widowControl/>
              <w:adjustRightInd w:val="0"/>
              <w:snapToGrid w:val="0"/>
              <w:rPr>
                <w:rFonts w:asciiTheme="minorEastAsia" w:hAnsiTheme="minorEastAsia" w:cstheme="minorEastAsia"/>
                <w:color w:val="000000"/>
                <w:kern w:val="0"/>
                <w:sz w:val="24"/>
                <w:szCs w:val="24"/>
              </w:rPr>
            </w:pPr>
            <w:r>
              <w:rPr>
                <w:rFonts w:hint="eastAsia" w:asciiTheme="minorEastAsia" w:hAnsiTheme="minorEastAsia" w:cstheme="minorEastAsia"/>
                <w:color w:val="000000"/>
                <w:kern w:val="0"/>
                <w:sz w:val="24"/>
                <w:szCs w:val="24"/>
              </w:rPr>
              <w:t>无</w:t>
            </w:r>
          </w:p>
        </w:tc>
      </w:tr>
    </w:tbl>
    <w:p w14:paraId="1D375683">
      <w:pPr>
        <w:widowControl/>
        <w:adjustRightInd w:val="0"/>
        <w:snapToGrid w:val="0"/>
        <w:spacing w:line="560" w:lineRule="exact"/>
        <w:ind w:firstLine="600"/>
        <w:jc w:val="left"/>
        <w:rPr>
          <w:rFonts w:asciiTheme="minorEastAsia" w:hAnsiTheme="minorEastAsia" w:cstheme="minorEastAsia"/>
          <w:kern w:val="0"/>
          <w:sz w:val="24"/>
          <w:szCs w:val="24"/>
        </w:rPr>
      </w:pPr>
    </w:p>
    <w:p w14:paraId="6EFE9EC0">
      <w:pPr>
        <w:widowControl/>
        <w:numPr>
          <w:ilvl w:val="0"/>
          <w:numId w:val="2"/>
        </w:numPr>
        <w:adjustRightInd w:val="0"/>
        <w:snapToGrid w:val="0"/>
        <w:spacing w:line="560" w:lineRule="exact"/>
        <w:ind w:firstLine="562" w:firstLineChars="200"/>
        <w:jc w:val="left"/>
        <w:outlineLvl w:val="0"/>
        <w:rPr>
          <w:rFonts w:asciiTheme="minorEastAsia" w:hAnsiTheme="minorEastAsia" w:cstheme="minorEastAsia"/>
          <w:b/>
          <w:bCs/>
          <w:sz w:val="28"/>
          <w:szCs w:val="28"/>
        </w:rPr>
      </w:pPr>
      <w:r>
        <w:rPr>
          <w:rFonts w:hint="eastAsia" w:asciiTheme="minorEastAsia" w:hAnsiTheme="minorEastAsia" w:cstheme="minorEastAsia"/>
          <w:b/>
          <w:bCs/>
          <w:sz w:val="28"/>
          <w:szCs w:val="28"/>
        </w:rPr>
        <w:t>担保情况概述</w:t>
      </w:r>
    </w:p>
    <w:p w14:paraId="391D30AC">
      <w:pPr>
        <w:pStyle w:val="17"/>
        <w:widowControl/>
        <w:numPr>
          <w:ilvl w:val="0"/>
          <w:numId w:val="3"/>
        </w:numPr>
        <w:adjustRightInd w:val="0"/>
        <w:snapToGrid w:val="0"/>
        <w:spacing w:line="560" w:lineRule="exact"/>
        <w:ind w:firstLineChars="0"/>
        <w:jc w:val="left"/>
        <w:outlineLvl w:val="1"/>
        <w:rPr>
          <w:rFonts w:asciiTheme="minorEastAsia" w:hAnsiTheme="minorEastAsia" w:cstheme="minorEastAsia"/>
          <w:sz w:val="24"/>
          <w:szCs w:val="24"/>
        </w:rPr>
      </w:pPr>
      <w:r>
        <w:rPr>
          <w:rFonts w:hint="eastAsia" w:asciiTheme="minorEastAsia" w:hAnsiTheme="minorEastAsia" w:cstheme="minorEastAsia"/>
          <w:sz w:val="24"/>
          <w:szCs w:val="24"/>
        </w:rPr>
        <w:t>担保的基本情况</w:t>
      </w:r>
    </w:p>
    <w:p w14:paraId="550EFE75">
      <w:pPr>
        <w:widowControl/>
        <w:adjustRightInd w:val="0"/>
        <w:snapToGrid w:val="0"/>
        <w:spacing w:line="5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2025年</w:t>
      </w:r>
      <w:r>
        <w:rPr>
          <w:rFonts w:asciiTheme="minorEastAsia" w:hAnsiTheme="minorEastAsia" w:cstheme="minorEastAsia"/>
          <w:sz w:val="24"/>
          <w:szCs w:val="24"/>
        </w:rPr>
        <w:t>9</w:t>
      </w:r>
      <w:r>
        <w:rPr>
          <w:rFonts w:hint="eastAsia" w:asciiTheme="minorEastAsia" w:hAnsiTheme="minorEastAsia" w:cstheme="minorEastAsia"/>
          <w:sz w:val="24"/>
          <w:szCs w:val="24"/>
        </w:rPr>
        <w:t>月，公司及下属子公司新增对外担保人民币</w:t>
      </w:r>
      <w:r>
        <w:rPr>
          <w:rFonts w:asciiTheme="minorEastAsia" w:hAnsiTheme="minorEastAsia" w:cstheme="minorEastAsia"/>
          <w:sz w:val="24"/>
          <w:szCs w:val="24"/>
        </w:rPr>
        <w:t>6,000.00</w:t>
      </w:r>
      <w:r>
        <w:rPr>
          <w:rFonts w:hint="eastAsia" w:asciiTheme="minorEastAsia" w:hAnsiTheme="minorEastAsia" w:cstheme="minorEastAsia"/>
          <w:sz w:val="24"/>
          <w:szCs w:val="24"/>
        </w:rPr>
        <w:t>万元,其中5,</w:t>
      </w:r>
      <w:r>
        <w:rPr>
          <w:rFonts w:asciiTheme="minorEastAsia" w:hAnsiTheme="minorEastAsia" w:cstheme="minorEastAsia"/>
          <w:sz w:val="24"/>
          <w:szCs w:val="24"/>
        </w:rPr>
        <w:t>000</w:t>
      </w:r>
      <w:r>
        <w:rPr>
          <w:rFonts w:hint="eastAsia" w:asciiTheme="minorEastAsia" w:hAnsiTheme="minorEastAsia" w:cstheme="minorEastAsia"/>
          <w:sz w:val="24"/>
          <w:szCs w:val="24"/>
        </w:rPr>
        <w:t>万元担保系公司于2</w:t>
      </w:r>
      <w:r>
        <w:rPr>
          <w:rFonts w:asciiTheme="minorEastAsia" w:hAnsiTheme="minorEastAsia" w:cstheme="minorEastAsia"/>
          <w:sz w:val="24"/>
          <w:szCs w:val="24"/>
        </w:rPr>
        <w:t>025</w:t>
      </w:r>
      <w:r>
        <w:rPr>
          <w:rFonts w:hint="eastAsia" w:asciiTheme="minorEastAsia" w:hAnsiTheme="minorEastAsia" w:cstheme="minorEastAsia"/>
          <w:sz w:val="24"/>
          <w:szCs w:val="24"/>
        </w:rPr>
        <w:t>年</w:t>
      </w:r>
      <w:r>
        <w:rPr>
          <w:rFonts w:asciiTheme="minorEastAsia" w:hAnsiTheme="minorEastAsia" w:cstheme="minorEastAsia"/>
          <w:sz w:val="24"/>
          <w:szCs w:val="24"/>
        </w:rPr>
        <w:t>9</w:t>
      </w:r>
      <w:r>
        <w:rPr>
          <w:rFonts w:hint="eastAsia" w:asciiTheme="minorEastAsia" w:hAnsiTheme="minorEastAsia" w:cstheme="minorEastAsia"/>
          <w:sz w:val="24"/>
          <w:szCs w:val="24"/>
        </w:rPr>
        <w:t>月2</w:t>
      </w:r>
      <w:r>
        <w:rPr>
          <w:rFonts w:asciiTheme="minorEastAsia" w:hAnsiTheme="minorEastAsia" w:cstheme="minorEastAsia"/>
          <w:sz w:val="24"/>
          <w:szCs w:val="24"/>
        </w:rPr>
        <w:t>8</w:t>
      </w:r>
      <w:r>
        <w:rPr>
          <w:rFonts w:hint="eastAsia" w:asciiTheme="minorEastAsia" w:hAnsiTheme="minorEastAsia" w:cstheme="minorEastAsia"/>
          <w:sz w:val="24"/>
          <w:szCs w:val="24"/>
        </w:rPr>
        <w:t>日与渤海银行股份有限公司昆明分行以下简称“渤海银行昆明分行”）签署《最高额保证协议》为全资子公司云变电气与渤海银行昆明分行签署《综合授信合同》提供不超过</w:t>
      </w:r>
      <w:r>
        <w:rPr>
          <w:rFonts w:hint="eastAsia" w:asciiTheme="minorEastAsia" w:hAnsiTheme="minorEastAsia" w:cstheme="minorEastAsia"/>
          <w:color w:val="000000"/>
          <w:kern w:val="0"/>
          <w:sz w:val="24"/>
          <w:szCs w:val="24"/>
        </w:rPr>
        <w:t>最高本金余额</w:t>
      </w:r>
      <w:r>
        <w:rPr>
          <w:rFonts w:hint="eastAsia" w:asciiTheme="minorEastAsia" w:hAnsiTheme="minorEastAsia" w:cstheme="minorEastAsia"/>
          <w:sz w:val="24"/>
          <w:szCs w:val="24"/>
        </w:rPr>
        <w:t>人民币</w:t>
      </w:r>
      <w:r>
        <w:rPr>
          <w:rFonts w:asciiTheme="minorEastAsia" w:hAnsiTheme="minorEastAsia" w:cstheme="minorEastAsia"/>
          <w:sz w:val="24"/>
          <w:szCs w:val="24"/>
        </w:rPr>
        <w:t>5,0000</w:t>
      </w:r>
      <w:r>
        <w:rPr>
          <w:rFonts w:hint="eastAsia" w:asciiTheme="minorEastAsia" w:hAnsiTheme="minorEastAsia" w:cstheme="minorEastAsia"/>
          <w:sz w:val="24"/>
          <w:szCs w:val="24"/>
        </w:rPr>
        <w:t>万元的连带责任保证；1,000万元担保系公司于2025年</w:t>
      </w:r>
      <w:r>
        <w:rPr>
          <w:rFonts w:asciiTheme="minorEastAsia" w:hAnsiTheme="minorEastAsia" w:cstheme="minorEastAsia"/>
          <w:sz w:val="24"/>
          <w:szCs w:val="24"/>
        </w:rPr>
        <w:t>9</w:t>
      </w:r>
      <w:r>
        <w:rPr>
          <w:rFonts w:hint="eastAsia" w:asciiTheme="minorEastAsia" w:hAnsiTheme="minorEastAsia" w:cstheme="minorEastAsia"/>
          <w:sz w:val="24"/>
          <w:szCs w:val="24"/>
        </w:rPr>
        <w:t>月13日与中国光大银行股份有限公司重庆分行(以下简称“光大银行重庆分行”)签署《最高额保证合同》为全资子公司惠泽电器与光大银行重庆分行签署的《综合授信协议》提供不超过最高本金余额人民币1,000万元的连带责任保证。</w:t>
      </w:r>
    </w:p>
    <w:p w14:paraId="148647ED">
      <w:pPr>
        <w:widowControl/>
        <w:adjustRightInd w:val="0"/>
        <w:snapToGrid w:val="0"/>
        <w:spacing w:line="560" w:lineRule="exact"/>
        <w:ind w:firstLine="480" w:firstLineChars="200"/>
        <w:rPr>
          <w:rFonts w:asciiTheme="minorEastAsia" w:hAnsiTheme="minorEastAsia" w:cstheme="minorEastAsia"/>
          <w:color w:val="000000"/>
          <w:kern w:val="0"/>
          <w:sz w:val="24"/>
          <w:szCs w:val="24"/>
        </w:rPr>
      </w:pPr>
      <w:r>
        <w:rPr>
          <w:rFonts w:hint="eastAsia" w:asciiTheme="minorEastAsia" w:hAnsiTheme="minorEastAsia" w:cstheme="minorEastAsia"/>
          <w:sz w:val="24"/>
          <w:szCs w:val="24"/>
        </w:rPr>
        <w:t>上述担保无反担保，上述担保事项属于公司2024年第三次临时股东会授权范围并在有效期内,无需再次提交公司董事会、股东会审议。</w:t>
      </w:r>
    </w:p>
    <w:p w14:paraId="7E81FD8D">
      <w:pPr>
        <w:pStyle w:val="17"/>
        <w:widowControl/>
        <w:numPr>
          <w:ilvl w:val="0"/>
          <w:numId w:val="3"/>
        </w:numPr>
        <w:adjustRightInd w:val="0"/>
        <w:snapToGrid w:val="0"/>
        <w:spacing w:line="560" w:lineRule="exact"/>
        <w:ind w:firstLineChars="0"/>
        <w:jc w:val="left"/>
        <w:outlineLvl w:val="1"/>
        <w:rPr>
          <w:rFonts w:asciiTheme="minorEastAsia" w:hAnsiTheme="minorEastAsia" w:cstheme="minorEastAsia"/>
          <w:sz w:val="24"/>
          <w:szCs w:val="24"/>
        </w:rPr>
      </w:pPr>
      <w:r>
        <w:rPr>
          <w:rFonts w:hint="eastAsia" w:asciiTheme="minorEastAsia" w:hAnsiTheme="minorEastAsia" w:cstheme="minorEastAsia"/>
          <w:sz w:val="24"/>
          <w:szCs w:val="24"/>
        </w:rPr>
        <w:t>内部决策程序</w:t>
      </w:r>
    </w:p>
    <w:p w14:paraId="06ED02C3">
      <w:pPr>
        <w:widowControl/>
        <w:adjustRightInd w:val="0"/>
        <w:snapToGrid w:val="0"/>
        <w:spacing w:line="560" w:lineRule="exact"/>
        <w:ind w:firstLine="480" w:firstLineChars="200"/>
        <w:rPr>
          <w:rFonts w:asciiTheme="minorEastAsia" w:hAnsiTheme="minorEastAsia" w:cstheme="minorEastAsia"/>
          <w:color w:val="000000"/>
          <w:kern w:val="0"/>
          <w:sz w:val="24"/>
          <w:szCs w:val="24"/>
        </w:rPr>
      </w:pPr>
      <w:r>
        <w:rPr>
          <w:rFonts w:hint="eastAsia" w:asciiTheme="minorEastAsia" w:hAnsiTheme="minorEastAsia" w:cstheme="minorEastAsia"/>
          <w:color w:val="000000"/>
          <w:kern w:val="0"/>
          <w:sz w:val="24"/>
          <w:szCs w:val="24"/>
        </w:rPr>
        <w:t>公司于2024年11月26日召开第四届董事会第九次会议审议通过《关于2025年度向银行等金融机构申请综合授信额度及为子公司提供融资担保额度的议案》，同意2025年度为子公司重庆惠泽电器有限公司（以下简称“惠泽电器”）向银行等金融机构申请综合授信或借款提供新增额度不超过1亿元人民币（或等值外币）的担保；同意2025年度为资产负债率超过70%的子公司黔南望江变压器有限公司（以下简称“黔南望江”）向银行等金融机构申请综合授信或借款提供新增额度不超过2亿元人民币（或等值外币）的担保；同意2025年度为子公司云变电气向银行等金融机构申请综合授信或借款提供新增额度不超过12亿元人民币（或等值外币）的担保。上述担保额度有效期自2025年1月1日至2025年12月31日。该担保事项已提交公司2024年第三次临时股东会审议通过。具体情况详见公司在上海证券交易所官网披露的《关于预计2025年度对子公司新增担保额度的公告》（公告编号：2024-075）和《2024年第三次临时股东会决议公告》（公告编号：2024-082）。</w:t>
      </w:r>
    </w:p>
    <w:p w14:paraId="713749B7">
      <w:pPr>
        <w:pStyle w:val="17"/>
        <w:widowControl/>
        <w:numPr>
          <w:ilvl w:val="0"/>
          <w:numId w:val="3"/>
        </w:numPr>
        <w:adjustRightInd w:val="0"/>
        <w:snapToGrid w:val="0"/>
        <w:spacing w:line="560" w:lineRule="exact"/>
        <w:ind w:firstLineChars="0"/>
        <w:jc w:val="left"/>
        <w:outlineLvl w:val="1"/>
        <w:rPr>
          <w:rFonts w:asciiTheme="minorEastAsia" w:hAnsiTheme="minorEastAsia" w:cstheme="minorEastAsia"/>
          <w:sz w:val="24"/>
          <w:szCs w:val="24"/>
        </w:rPr>
      </w:pPr>
      <w:r>
        <w:rPr>
          <w:rFonts w:hint="eastAsia" w:asciiTheme="minorEastAsia" w:hAnsiTheme="minorEastAsia" w:cstheme="minorEastAsia"/>
          <w:sz w:val="24"/>
          <w:szCs w:val="24"/>
        </w:rPr>
        <w:t>担保预计基本情况</w:t>
      </w:r>
    </w:p>
    <w:tbl>
      <w:tblPr>
        <w:tblStyle w:val="12"/>
        <w:tblW w:w="5261"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67"/>
        <w:gridCol w:w="573"/>
        <w:gridCol w:w="748"/>
        <w:gridCol w:w="874"/>
        <w:gridCol w:w="1067"/>
        <w:gridCol w:w="1030"/>
        <w:gridCol w:w="942"/>
        <w:gridCol w:w="794"/>
        <w:gridCol w:w="1219"/>
        <w:gridCol w:w="441"/>
        <w:gridCol w:w="711"/>
      </w:tblGrid>
      <w:tr w14:paraId="445B157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17" w:hRule="atLeast"/>
        </w:trPr>
        <w:tc>
          <w:tcPr>
            <w:tcW w:w="552" w:type="dxa"/>
            <w:vAlign w:val="center"/>
          </w:tcPr>
          <w:p w14:paraId="190F1892">
            <w:pPr>
              <w:widowControl/>
              <w:adjustRightInd w:val="0"/>
              <w:snapToGrid w:val="0"/>
              <w:jc w:val="center"/>
              <w:rPr>
                <w:rFonts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担保方</w:t>
            </w:r>
          </w:p>
        </w:tc>
        <w:tc>
          <w:tcPr>
            <w:tcW w:w="558" w:type="dxa"/>
            <w:vAlign w:val="center"/>
          </w:tcPr>
          <w:p w14:paraId="732E459E">
            <w:pPr>
              <w:widowControl/>
              <w:adjustRightInd w:val="0"/>
              <w:snapToGrid w:val="0"/>
              <w:jc w:val="center"/>
              <w:rPr>
                <w:rFonts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被担保方</w:t>
            </w:r>
          </w:p>
        </w:tc>
        <w:tc>
          <w:tcPr>
            <w:tcW w:w="728" w:type="dxa"/>
            <w:vAlign w:val="center"/>
          </w:tcPr>
          <w:p w14:paraId="5131C186">
            <w:pPr>
              <w:widowControl/>
              <w:adjustRightInd w:val="0"/>
              <w:snapToGrid w:val="0"/>
              <w:jc w:val="center"/>
              <w:rPr>
                <w:rFonts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担保方持股比例</w:t>
            </w:r>
          </w:p>
        </w:tc>
        <w:tc>
          <w:tcPr>
            <w:tcW w:w="851" w:type="dxa"/>
            <w:vAlign w:val="center"/>
          </w:tcPr>
          <w:p w14:paraId="79A0B6A6">
            <w:pPr>
              <w:widowControl/>
              <w:adjustRightInd w:val="0"/>
              <w:snapToGrid w:val="0"/>
              <w:jc w:val="center"/>
              <w:rPr>
                <w:rFonts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被担</w:t>
            </w:r>
          </w:p>
          <w:p w14:paraId="7CDA06B8">
            <w:pPr>
              <w:widowControl/>
              <w:adjustRightInd w:val="0"/>
              <w:snapToGrid w:val="0"/>
              <w:jc w:val="center"/>
              <w:rPr>
                <w:rFonts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保方2025.0</w:t>
            </w:r>
            <w:r>
              <w:rPr>
                <w:rFonts w:asciiTheme="minorEastAsia" w:hAnsiTheme="minorEastAsia" w:cstheme="minorEastAsia"/>
                <w:b/>
                <w:bCs/>
                <w:color w:val="000000"/>
                <w:kern w:val="0"/>
                <w:sz w:val="16"/>
                <w:szCs w:val="16"/>
              </w:rPr>
              <w:t>6</w:t>
            </w:r>
            <w:r>
              <w:rPr>
                <w:rFonts w:hint="eastAsia" w:asciiTheme="minorEastAsia" w:hAnsiTheme="minorEastAsia" w:cstheme="minorEastAsia"/>
                <w:b/>
                <w:bCs/>
                <w:color w:val="000000"/>
                <w:kern w:val="0"/>
                <w:sz w:val="16"/>
                <w:szCs w:val="16"/>
              </w:rPr>
              <w:t>.3</w:t>
            </w:r>
            <w:r>
              <w:rPr>
                <w:rFonts w:asciiTheme="minorEastAsia" w:hAnsiTheme="minorEastAsia" w:cstheme="minorEastAsia"/>
                <w:b/>
                <w:bCs/>
                <w:color w:val="000000"/>
                <w:kern w:val="0"/>
                <w:sz w:val="16"/>
                <w:szCs w:val="16"/>
              </w:rPr>
              <w:t>0</w:t>
            </w:r>
            <w:r>
              <w:rPr>
                <w:rFonts w:hint="eastAsia" w:asciiTheme="minorEastAsia" w:hAnsiTheme="minorEastAsia" w:cstheme="minorEastAsia"/>
                <w:b/>
                <w:bCs/>
                <w:color w:val="000000"/>
                <w:kern w:val="0"/>
                <w:sz w:val="16"/>
                <w:szCs w:val="16"/>
              </w:rPr>
              <w:t>资产负债率（未经审计）</w:t>
            </w:r>
          </w:p>
        </w:tc>
        <w:tc>
          <w:tcPr>
            <w:tcW w:w="1039" w:type="dxa"/>
            <w:vAlign w:val="center"/>
          </w:tcPr>
          <w:p w14:paraId="616E4A4A">
            <w:pPr>
              <w:widowControl/>
              <w:adjustRightInd w:val="0"/>
              <w:snapToGrid w:val="0"/>
              <w:jc w:val="center"/>
              <w:rPr>
                <w:rFonts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2025年预计担保额度</w:t>
            </w:r>
          </w:p>
          <w:p w14:paraId="4C19E76D">
            <w:pPr>
              <w:widowControl/>
              <w:adjustRightInd w:val="0"/>
              <w:snapToGrid w:val="0"/>
              <w:jc w:val="center"/>
              <w:rPr>
                <w:rFonts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（万元）</w:t>
            </w:r>
          </w:p>
        </w:tc>
        <w:tc>
          <w:tcPr>
            <w:tcW w:w="1003" w:type="dxa"/>
            <w:vAlign w:val="center"/>
          </w:tcPr>
          <w:p w14:paraId="138D620A">
            <w:pPr>
              <w:widowControl/>
              <w:adjustRightInd w:val="0"/>
              <w:snapToGrid w:val="0"/>
              <w:jc w:val="center"/>
              <w:rPr>
                <w:rFonts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截至2025年</w:t>
            </w:r>
            <w:r>
              <w:rPr>
                <w:rFonts w:asciiTheme="minorEastAsia" w:hAnsiTheme="minorEastAsia" w:cstheme="minorEastAsia"/>
                <w:b/>
                <w:bCs/>
                <w:color w:val="000000"/>
                <w:kern w:val="0"/>
                <w:sz w:val="16"/>
                <w:szCs w:val="16"/>
              </w:rPr>
              <w:t>9</w:t>
            </w:r>
            <w:r>
              <w:rPr>
                <w:rFonts w:hint="eastAsia" w:asciiTheme="minorEastAsia" w:hAnsiTheme="minorEastAsia" w:cstheme="minorEastAsia"/>
                <w:b/>
                <w:bCs/>
                <w:color w:val="000000"/>
                <w:kern w:val="0"/>
                <w:sz w:val="16"/>
                <w:szCs w:val="16"/>
              </w:rPr>
              <w:t>月末担保余额</w:t>
            </w:r>
          </w:p>
          <w:p w14:paraId="5301E1B6">
            <w:pPr>
              <w:widowControl/>
              <w:adjustRightInd w:val="0"/>
              <w:snapToGrid w:val="0"/>
              <w:jc w:val="center"/>
              <w:rPr>
                <w:rFonts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（万元）</w:t>
            </w:r>
          </w:p>
        </w:tc>
        <w:tc>
          <w:tcPr>
            <w:tcW w:w="917" w:type="dxa"/>
            <w:vAlign w:val="center"/>
          </w:tcPr>
          <w:p w14:paraId="77295072">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b/>
                <w:bCs/>
                <w:color w:val="000000"/>
                <w:kern w:val="0"/>
                <w:sz w:val="16"/>
                <w:szCs w:val="16"/>
              </w:rPr>
              <w:t>9</w:t>
            </w:r>
            <w:r>
              <w:rPr>
                <w:rFonts w:hint="eastAsia" w:asciiTheme="minorEastAsia" w:hAnsiTheme="minorEastAsia" w:cstheme="minorEastAsia"/>
                <w:b/>
                <w:bCs/>
                <w:color w:val="000000"/>
                <w:kern w:val="0"/>
                <w:sz w:val="16"/>
                <w:szCs w:val="16"/>
              </w:rPr>
              <w:t>月新增担保额度</w:t>
            </w:r>
          </w:p>
          <w:p w14:paraId="1D521F69">
            <w:pPr>
              <w:widowControl/>
              <w:adjustRightInd w:val="0"/>
              <w:snapToGrid w:val="0"/>
              <w:jc w:val="center"/>
              <w:rPr>
                <w:rFonts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（万元）</w:t>
            </w:r>
          </w:p>
        </w:tc>
        <w:tc>
          <w:tcPr>
            <w:tcW w:w="773" w:type="dxa"/>
            <w:vAlign w:val="center"/>
          </w:tcPr>
          <w:p w14:paraId="07000FF7">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b/>
                <w:bCs/>
                <w:color w:val="000000"/>
                <w:kern w:val="0"/>
                <w:sz w:val="16"/>
                <w:szCs w:val="16"/>
              </w:rPr>
              <w:t>截至2025年9月末担保余额</w:t>
            </w:r>
            <w:r>
              <w:rPr>
                <w:rFonts w:hint="eastAsia" w:asciiTheme="minorEastAsia" w:hAnsiTheme="minorEastAsia" w:cstheme="minorEastAsia"/>
                <w:b/>
                <w:bCs/>
                <w:color w:val="000000"/>
                <w:kern w:val="0"/>
                <w:sz w:val="16"/>
                <w:szCs w:val="16"/>
              </w:rPr>
              <w:t>占上市公司最近一期净资产比例</w:t>
            </w:r>
          </w:p>
        </w:tc>
        <w:tc>
          <w:tcPr>
            <w:tcW w:w="1187" w:type="dxa"/>
            <w:vAlign w:val="center"/>
          </w:tcPr>
          <w:p w14:paraId="28713599">
            <w:pPr>
              <w:widowControl/>
              <w:adjustRightInd w:val="0"/>
              <w:snapToGrid w:val="0"/>
              <w:jc w:val="center"/>
              <w:rPr>
                <w:rFonts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担保预计有效期</w:t>
            </w:r>
          </w:p>
        </w:tc>
        <w:tc>
          <w:tcPr>
            <w:tcW w:w="429" w:type="dxa"/>
            <w:vAlign w:val="center"/>
          </w:tcPr>
          <w:p w14:paraId="1A21F145">
            <w:pPr>
              <w:widowControl/>
              <w:adjustRightInd w:val="0"/>
              <w:snapToGrid w:val="0"/>
              <w:jc w:val="center"/>
              <w:rPr>
                <w:rFonts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是否关联担保</w:t>
            </w:r>
          </w:p>
        </w:tc>
        <w:tc>
          <w:tcPr>
            <w:tcW w:w="692" w:type="dxa"/>
            <w:vAlign w:val="center"/>
          </w:tcPr>
          <w:p w14:paraId="2331B0DF">
            <w:pPr>
              <w:widowControl/>
              <w:adjustRightInd w:val="0"/>
              <w:snapToGrid w:val="0"/>
              <w:jc w:val="center"/>
              <w:rPr>
                <w:rFonts w:asciiTheme="minorEastAsia" w:hAnsiTheme="minorEastAsia" w:cstheme="minorEastAsia"/>
                <w:b/>
                <w:bCs/>
                <w:color w:val="000000"/>
                <w:kern w:val="0"/>
                <w:sz w:val="16"/>
                <w:szCs w:val="16"/>
              </w:rPr>
            </w:pPr>
            <w:r>
              <w:rPr>
                <w:rFonts w:hint="eastAsia" w:asciiTheme="minorEastAsia" w:hAnsiTheme="minorEastAsia" w:cstheme="minorEastAsia"/>
                <w:b/>
                <w:bCs/>
                <w:color w:val="000000"/>
                <w:kern w:val="0"/>
                <w:sz w:val="16"/>
                <w:szCs w:val="16"/>
              </w:rPr>
              <w:t>是否有反担保</w:t>
            </w:r>
          </w:p>
        </w:tc>
      </w:tr>
      <w:tr w14:paraId="27BBC89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8729" w:type="dxa"/>
            <w:gridSpan w:val="11"/>
            <w:vAlign w:val="center"/>
          </w:tcPr>
          <w:p w14:paraId="6FD1BBFE">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对控股子公司</w:t>
            </w:r>
          </w:p>
        </w:tc>
      </w:tr>
      <w:tr w14:paraId="342464F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8729" w:type="dxa"/>
            <w:gridSpan w:val="11"/>
            <w:vAlign w:val="center"/>
          </w:tcPr>
          <w:p w14:paraId="5D983B36">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1.资产负债率为70%以上的控股子公司</w:t>
            </w:r>
          </w:p>
        </w:tc>
      </w:tr>
      <w:tr w14:paraId="132CB64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552" w:type="dxa"/>
            <w:vAlign w:val="center"/>
          </w:tcPr>
          <w:p w14:paraId="3BE263EE">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望变</w:t>
            </w:r>
          </w:p>
          <w:p w14:paraId="43F54CCF">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电气</w:t>
            </w:r>
          </w:p>
        </w:tc>
        <w:tc>
          <w:tcPr>
            <w:tcW w:w="558" w:type="dxa"/>
            <w:vAlign w:val="center"/>
          </w:tcPr>
          <w:p w14:paraId="6F9E1BAF">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黔南</w:t>
            </w:r>
          </w:p>
          <w:p w14:paraId="34907139">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望江</w:t>
            </w:r>
          </w:p>
        </w:tc>
        <w:tc>
          <w:tcPr>
            <w:tcW w:w="728" w:type="dxa"/>
            <w:vAlign w:val="center"/>
          </w:tcPr>
          <w:p w14:paraId="24547140">
            <w:pPr>
              <w:widowControl/>
              <w:adjustRightInd w:val="0"/>
              <w:snapToGrid w:val="0"/>
              <w:rPr>
                <w:rFonts w:asciiTheme="minorEastAsia" w:hAnsiTheme="minorEastAsia" w:cstheme="minorEastAsia"/>
                <w:kern w:val="0"/>
                <w:sz w:val="16"/>
                <w:szCs w:val="16"/>
              </w:rPr>
            </w:pPr>
            <w:r>
              <w:rPr>
                <w:rFonts w:eastAsia="宋体" w:asciiTheme="minorEastAsia" w:hAnsiTheme="minorEastAsia" w:cstheme="minorEastAsia"/>
                <w:kern w:val="0"/>
                <w:sz w:val="16"/>
                <w:szCs w:val="16"/>
              </w:rPr>
              <w:t>100.00%</w:t>
            </w:r>
          </w:p>
        </w:tc>
        <w:tc>
          <w:tcPr>
            <w:tcW w:w="851" w:type="dxa"/>
            <w:vAlign w:val="center"/>
          </w:tcPr>
          <w:p w14:paraId="56895A0C">
            <w:pPr>
              <w:widowControl/>
              <w:jc w:val="right"/>
              <w:rPr>
                <w:rFonts w:asciiTheme="minorEastAsia" w:hAnsiTheme="minorEastAsia" w:cstheme="minorEastAsia"/>
                <w:kern w:val="0"/>
                <w:sz w:val="16"/>
                <w:szCs w:val="16"/>
              </w:rPr>
            </w:pPr>
            <w:r>
              <w:rPr>
                <w:rFonts w:asciiTheme="minorEastAsia" w:hAnsiTheme="minorEastAsia" w:cstheme="minorEastAsia"/>
                <w:kern w:val="0"/>
                <w:sz w:val="16"/>
                <w:szCs w:val="16"/>
              </w:rPr>
              <w:t>75.90%</w:t>
            </w:r>
          </w:p>
        </w:tc>
        <w:tc>
          <w:tcPr>
            <w:tcW w:w="1039" w:type="dxa"/>
            <w:vAlign w:val="center"/>
          </w:tcPr>
          <w:p w14:paraId="6E50683B">
            <w:pPr>
              <w:pStyle w:val="33"/>
              <w:widowControl/>
              <w:spacing w:line="240" w:lineRule="auto"/>
              <w:jc w:val="right"/>
              <w:rPr>
                <w:rFonts w:asciiTheme="minorEastAsia" w:hAnsiTheme="minorEastAsia" w:cstheme="minorEastAsia"/>
                <w:kern w:val="0"/>
                <w:sz w:val="16"/>
                <w:szCs w:val="16"/>
              </w:rPr>
            </w:pPr>
            <w:r>
              <w:rPr>
                <w:rFonts w:hint="eastAsia" w:ascii="宋体" w:hAnsi="宋体" w:eastAsia="宋体"/>
                <w:sz w:val="16"/>
                <w:szCs w:val="16"/>
                <w:lang w:eastAsia="zh-CN"/>
              </w:rPr>
              <w:t>20,000.00</w:t>
            </w:r>
          </w:p>
        </w:tc>
        <w:tc>
          <w:tcPr>
            <w:tcW w:w="1003" w:type="dxa"/>
            <w:vAlign w:val="center"/>
          </w:tcPr>
          <w:p w14:paraId="3494520D">
            <w:pPr>
              <w:pStyle w:val="33"/>
              <w:widowControl/>
              <w:spacing w:line="240" w:lineRule="auto"/>
              <w:jc w:val="center"/>
              <w:rPr>
                <w:rFonts w:ascii="宋体" w:hAnsi="宋体" w:eastAsia="宋体"/>
                <w:sz w:val="16"/>
                <w:szCs w:val="16"/>
                <w:lang w:eastAsia="zh-CN"/>
              </w:rPr>
            </w:pPr>
            <w:r>
              <w:rPr>
                <w:rFonts w:ascii="宋体" w:hAnsi="宋体" w:eastAsia="宋体"/>
                <w:sz w:val="16"/>
                <w:szCs w:val="16"/>
                <w:lang w:eastAsia="zh-CN"/>
              </w:rPr>
              <w:t>4,003.80</w:t>
            </w:r>
          </w:p>
        </w:tc>
        <w:tc>
          <w:tcPr>
            <w:tcW w:w="917" w:type="dxa"/>
            <w:vAlign w:val="center"/>
          </w:tcPr>
          <w:p w14:paraId="1DBB9287">
            <w:pPr>
              <w:pStyle w:val="33"/>
              <w:widowControl/>
              <w:spacing w:line="240" w:lineRule="auto"/>
              <w:jc w:val="center"/>
              <w:rPr>
                <w:rFonts w:asciiTheme="minorEastAsia" w:hAnsiTheme="minorEastAsia" w:cstheme="minorEastAsia"/>
                <w:kern w:val="0"/>
                <w:sz w:val="16"/>
                <w:szCs w:val="16"/>
              </w:rPr>
            </w:pPr>
            <w:r>
              <w:rPr>
                <w:rFonts w:ascii="宋体" w:hAnsi="宋体" w:eastAsia="宋体"/>
                <w:sz w:val="16"/>
                <w:szCs w:val="16"/>
                <w:lang w:eastAsia="zh-CN"/>
              </w:rPr>
              <w:t>0</w:t>
            </w:r>
            <w:r>
              <w:rPr>
                <w:rFonts w:hint="eastAsia" w:ascii="宋体" w:hAnsi="宋体" w:eastAsia="宋体"/>
                <w:sz w:val="16"/>
                <w:szCs w:val="16"/>
                <w:lang w:eastAsia="zh-CN"/>
              </w:rPr>
              <w:t>.00</w:t>
            </w:r>
          </w:p>
        </w:tc>
        <w:tc>
          <w:tcPr>
            <w:tcW w:w="773" w:type="dxa"/>
            <w:vAlign w:val="center"/>
          </w:tcPr>
          <w:p w14:paraId="3FF0F885">
            <w:pPr>
              <w:widowControl/>
              <w:adjustRightInd w:val="0"/>
              <w:snapToGrid w:val="0"/>
              <w:jc w:val="center"/>
              <w:rPr>
                <w:rFonts w:asciiTheme="minorEastAsia" w:hAnsiTheme="minorEastAsia" w:cstheme="minorEastAsia"/>
                <w:kern w:val="0"/>
                <w:sz w:val="16"/>
                <w:szCs w:val="16"/>
              </w:rPr>
            </w:pPr>
            <w:r>
              <w:rPr>
                <w:rFonts w:asciiTheme="minorEastAsia" w:hAnsiTheme="minorEastAsia" w:cstheme="minorEastAsia"/>
                <w:kern w:val="0"/>
                <w:sz w:val="16"/>
                <w:szCs w:val="16"/>
              </w:rPr>
              <w:t>1.66%</w:t>
            </w:r>
          </w:p>
        </w:tc>
        <w:tc>
          <w:tcPr>
            <w:tcW w:w="1187" w:type="dxa"/>
            <w:vAlign w:val="center"/>
          </w:tcPr>
          <w:p w14:paraId="1A7AD7FE">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w:t>
            </w:r>
          </w:p>
        </w:tc>
        <w:tc>
          <w:tcPr>
            <w:tcW w:w="429" w:type="dxa"/>
            <w:vAlign w:val="center"/>
          </w:tcPr>
          <w:p w14:paraId="75BCDE4C">
            <w:pPr>
              <w:widowControl/>
              <w:adjustRightInd w:val="0"/>
              <w:snapToGrid w:val="0"/>
              <w:jc w:val="center"/>
              <w:rPr>
                <w:rFonts w:asciiTheme="minorEastAsia" w:hAnsiTheme="minorEastAsia" w:cstheme="minorEastAsia"/>
                <w:kern w:val="0"/>
                <w:sz w:val="16"/>
                <w:szCs w:val="16"/>
              </w:rPr>
            </w:pPr>
            <w:r>
              <w:rPr>
                <w:rFonts w:hint="eastAsia" w:asciiTheme="minorEastAsia" w:hAnsiTheme="minorEastAsia" w:cstheme="minorEastAsia"/>
                <w:kern w:val="0"/>
                <w:sz w:val="16"/>
                <w:szCs w:val="16"/>
              </w:rPr>
              <w:t>否</w:t>
            </w:r>
          </w:p>
        </w:tc>
        <w:tc>
          <w:tcPr>
            <w:tcW w:w="692" w:type="dxa"/>
            <w:vAlign w:val="center"/>
          </w:tcPr>
          <w:p w14:paraId="69A8FE32">
            <w:pPr>
              <w:widowControl/>
              <w:adjustRightInd w:val="0"/>
              <w:snapToGrid w:val="0"/>
              <w:jc w:val="center"/>
              <w:rPr>
                <w:rFonts w:asciiTheme="minorEastAsia" w:hAnsiTheme="minorEastAsia" w:cstheme="minorEastAsia"/>
                <w:kern w:val="0"/>
                <w:sz w:val="16"/>
                <w:szCs w:val="16"/>
              </w:rPr>
            </w:pPr>
            <w:r>
              <w:rPr>
                <w:rFonts w:hint="eastAsia" w:asciiTheme="minorEastAsia" w:hAnsiTheme="minorEastAsia" w:cstheme="minorEastAsia"/>
                <w:kern w:val="0"/>
                <w:sz w:val="16"/>
                <w:szCs w:val="16"/>
              </w:rPr>
              <w:t>否</w:t>
            </w:r>
          </w:p>
        </w:tc>
      </w:tr>
      <w:tr w14:paraId="3A32289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8729" w:type="dxa"/>
            <w:gridSpan w:val="11"/>
            <w:vAlign w:val="center"/>
          </w:tcPr>
          <w:p w14:paraId="2968F2AA">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2.资产负债率为70%以下的控股子公司</w:t>
            </w:r>
          </w:p>
        </w:tc>
      </w:tr>
      <w:tr w14:paraId="720980C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552" w:type="dxa"/>
            <w:vAlign w:val="center"/>
          </w:tcPr>
          <w:p w14:paraId="661C67BE">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望变</w:t>
            </w:r>
          </w:p>
          <w:p w14:paraId="04E59B52">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电气</w:t>
            </w:r>
          </w:p>
        </w:tc>
        <w:tc>
          <w:tcPr>
            <w:tcW w:w="558" w:type="dxa"/>
            <w:vAlign w:val="center"/>
          </w:tcPr>
          <w:p w14:paraId="433F1E97">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云变</w:t>
            </w:r>
          </w:p>
          <w:p w14:paraId="77844811">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电气</w:t>
            </w:r>
          </w:p>
        </w:tc>
        <w:tc>
          <w:tcPr>
            <w:tcW w:w="728" w:type="dxa"/>
            <w:vAlign w:val="center"/>
          </w:tcPr>
          <w:p w14:paraId="28CDA59E">
            <w:pPr>
              <w:widowControl/>
              <w:adjustRightInd w:val="0"/>
              <w:snapToGrid w:val="0"/>
              <w:rPr>
                <w:rFonts w:asciiTheme="minorEastAsia" w:hAnsiTheme="minorEastAsia" w:cstheme="minorEastAsia"/>
                <w:kern w:val="0"/>
                <w:sz w:val="16"/>
                <w:szCs w:val="16"/>
              </w:rPr>
            </w:pPr>
            <w:r>
              <w:rPr>
                <w:rFonts w:hint="eastAsia" w:eastAsia="宋体" w:asciiTheme="minorEastAsia" w:hAnsiTheme="minorEastAsia" w:cstheme="minorEastAsia"/>
                <w:kern w:val="0"/>
                <w:sz w:val="16"/>
                <w:szCs w:val="16"/>
              </w:rPr>
              <w:t>100.00</w:t>
            </w:r>
            <w:r>
              <w:rPr>
                <w:rFonts w:eastAsia="宋体" w:asciiTheme="minorEastAsia" w:hAnsiTheme="minorEastAsia" w:cstheme="minorEastAsia"/>
                <w:kern w:val="0"/>
                <w:sz w:val="16"/>
                <w:szCs w:val="16"/>
              </w:rPr>
              <w:t>%</w:t>
            </w:r>
          </w:p>
        </w:tc>
        <w:tc>
          <w:tcPr>
            <w:tcW w:w="851" w:type="dxa"/>
            <w:vAlign w:val="center"/>
          </w:tcPr>
          <w:p w14:paraId="74577889">
            <w:pPr>
              <w:widowControl/>
              <w:jc w:val="right"/>
              <w:rPr>
                <w:rFonts w:asciiTheme="minorEastAsia" w:hAnsiTheme="minorEastAsia" w:cstheme="minorEastAsia"/>
                <w:kern w:val="0"/>
                <w:sz w:val="16"/>
                <w:szCs w:val="16"/>
              </w:rPr>
            </w:pPr>
            <w:r>
              <w:rPr>
                <w:rFonts w:asciiTheme="minorEastAsia" w:hAnsiTheme="minorEastAsia" w:cstheme="minorEastAsia"/>
                <w:kern w:val="0"/>
                <w:sz w:val="16"/>
                <w:szCs w:val="16"/>
                <w:lang w:bidi="ar"/>
              </w:rPr>
              <w:t>64.29%</w:t>
            </w:r>
          </w:p>
        </w:tc>
        <w:tc>
          <w:tcPr>
            <w:tcW w:w="1039" w:type="dxa"/>
            <w:vAlign w:val="center"/>
          </w:tcPr>
          <w:p w14:paraId="5AB80D50">
            <w:pPr>
              <w:widowControl/>
              <w:adjustRightInd w:val="0"/>
              <w:snapToGrid w:val="0"/>
              <w:jc w:val="right"/>
              <w:rPr>
                <w:rFonts w:asciiTheme="minorEastAsia" w:hAnsiTheme="minorEastAsia" w:cstheme="minorEastAsia"/>
                <w:kern w:val="0"/>
                <w:sz w:val="16"/>
                <w:szCs w:val="16"/>
              </w:rPr>
            </w:pPr>
            <w:r>
              <w:rPr>
                <w:rFonts w:hint="eastAsia" w:asciiTheme="minorEastAsia" w:hAnsiTheme="minorEastAsia" w:cstheme="minorEastAsia"/>
                <w:kern w:val="0"/>
                <w:sz w:val="16"/>
                <w:szCs w:val="16"/>
              </w:rPr>
              <w:t>120,000.00</w:t>
            </w:r>
          </w:p>
        </w:tc>
        <w:tc>
          <w:tcPr>
            <w:tcW w:w="1003" w:type="dxa"/>
            <w:vAlign w:val="center"/>
          </w:tcPr>
          <w:p w14:paraId="69FA56C6">
            <w:pPr>
              <w:widowControl/>
              <w:adjustRightInd w:val="0"/>
              <w:snapToGrid w:val="0"/>
              <w:jc w:val="right"/>
              <w:rPr>
                <w:rFonts w:asciiTheme="minorEastAsia" w:hAnsiTheme="minorEastAsia" w:cstheme="minorEastAsia"/>
                <w:kern w:val="0"/>
                <w:sz w:val="16"/>
                <w:szCs w:val="16"/>
              </w:rPr>
            </w:pPr>
            <w:r>
              <w:rPr>
                <w:rFonts w:asciiTheme="minorEastAsia" w:hAnsiTheme="minorEastAsia" w:cstheme="minorEastAsia"/>
                <w:kern w:val="0"/>
                <w:sz w:val="16"/>
                <w:szCs w:val="16"/>
              </w:rPr>
              <w:t>56,412.95</w:t>
            </w:r>
          </w:p>
        </w:tc>
        <w:tc>
          <w:tcPr>
            <w:tcW w:w="917" w:type="dxa"/>
            <w:vAlign w:val="center"/>
          </w:tcPr>
          <w:p w14:paraId="3E481204">
            <w:pPr>
              <w:widowControl/>
              <w:adjustRightInd w:val="0"/>
              <w:snapToGrid w:val="0"/>
              <w:jc w:val="right"/>
              <w:rPr>
                <w:rFonts w:asciiTheme="minorEastAsia" w:hAnsiTheme="minorEastAsia" w:cstheme="minorEastAsia"/>
                <w:kern w:val="0"/>
                <w:sz w:val="16"/>
                <w:szCs w:val="16"/>
              </w:rPr>
            </w:pPr>
            <w:r>
              <w:rPr>
                <w:rFonts w:asciiTheme="minorEastAsia" w:hAnsiTheme="minorEastAsia" w:cstheme="minorEastAsia"/>
                <w:kern w:val="0"/>
                <w:sz w:val="16"/>
                <w:szCs w:val="16"/>
              </w:rPr>
              <w:t>5,000.00</w:t>
            </w:r>
          </w:p>
        </w:tc>
        <w:tc>
          <w:tcPr>
            <w:tcW w:w="773" w:type="dxa"/>
            <w:vAlign w:val="center"/>
          </w:tcPr>
          <w:p w14:paraId="75503D57">
            <w:pPr>
              <w:widowControl/>
              <w:adjustRightInd w:val="0"/>
              <w:snapToGrid w:val="0"/>
              <w:jc w:val="right"/>
              <w:rPr>
                <w:rFonts w:asciiTheme="minorEastAsia" w:hAnsiTheme="minorEastAsia" w:cstheme="minorEastAsia"/>
                <w:kern w:val="0"/>
                <w:sz w:val="16"/>
                <w:szCs w:val="16"/>
              </w:rPr>
            </w:pPr>
            <w:r>
              <w:rPr>
                <w:rFonts w:asciiTheme="minorEastAsia" w:hAnsiTheme="minorEastAsia" w:cstheme="minorEastAsia"/>
                <w:kern w:val="0"/>
                <w:sz w:val="16"/>
                <w:szCs w:val="16"/>
              </w:rPr>
              <w:t>23.38%</w:t>
            </w:r>
          </w:p>
        </w:tc>
        <w:tc>
          <w:tcPr>
            <w:tcW w:w="1187" w:type="dxa"/>
            <w:vAlign w:val="center"/>
          </w:tcPr>
          <w:p w14:paraId="224E34C2">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主债权届满之日起三年</w:t>
            </w:r>
          </w:p>
        </w:tc>
        <w:tc>
          <w:tcPr>
            <w:tcW w:w="429" w:type="dxa"/>
            <w:vAlign w:val="center"/>
          </w:tcPr>
          <w:p w14:paraId="2D4ABD96">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否</w:t>
            </w:r>
          </w:p>
        </w:tc>
        <w:tc>
          <w:tcPr>
            <w:tcW w:w="692" w:type="dxa"/>
            <w:vAlign w:val="center"/>
          </w:tcPr>
          <w:p w14:paraId="2757E56E">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否</w:t>
            </w:r>
          </w:p>
        </w:tc>
      </w:tr>
      <w:tr w14:paraId="6F2A5CC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552" w:type="dxa"/>
            <w:vAlign w:val="center"/>
          </w:tcPr>
          <w:p w14:paraId="4F019FA7">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望变</w:t>
            </w:r>
          </w:p>
          <w:p w14:paraId="237F05FB">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电气</w:t>
            </w:r>
          </w:p>
        </w:tc>
        <w:tc>
          <w:tcPr>
            <w:tcW w:w="558" w:type="dxa"/>
            <w:vAlign w:val="center"/>
          </w:tcPr>
          <w:p w14:paraId="0553C1E3">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惠泽</w:t>
            </w:r>
          </w:p>
          <w:p w14:paraId="19C645B4">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电器</w:t>
            </w:r>
          </w:p>
        </w:tc>
        <w:tc>
          <w:tcPr>
            <w:tcW w:w="728" w:type="dxa"/>
            <w:vAlign w:val="center"/>
          </w:tcPr>
          <w:p w14:paraId="2AF06E3D">
            <w:pPr>
              <w:widowControl/>
              <w:adjustRightInd w:val="0"/>
              <w:snapToGrid w:val="0"/>
              <w:rPr>
                <w:rFonts w:asciiTheme="minorEastAsia" w:hAnsiTheme="minorEastAsia" w:cstheme="minorEastAsia"/>
                <w:kern w:val="0"/>
                <w:sz w:val="16"/>
                <w:szCs w:val="16"/>
              </w:rPr>
            </w:pPr>
            <w:r>
              <w:rPr>
                <w:rFonts w:eastAsia="宋体" w:asciiTheme="minorEastAsia" w:hAnsiTheme="minorEastAsia" w:cstheme="minorEastAsia"/>
                <w:kern w:val="0"/>
                <w:sz w:val="16"/>
                <w:szCs w:val="16"/>
              </w:rPr>
              <w:t>100.00%</w:t>
            </w:r>
          </w:p>
        </w:tc>
        <w:tc>
          <w:tcPr>
            <w:tcW w:w="851" w:type="dxa"/>
            <w:vAlign w:val="center"/>
          </w:tcPr>
          <w:p w14:paraId="62301A6A">
            <w:pPr>
              <w:widowControl/>
              <w:jc w:val="right"/>
              <w:rPr>
                <w:rFonts w:asciiTheme="minorEastAsia" w:hAnsiTheme="minorEastAsia" w:cstheme="minorEastAsia"/>
                <w:kern w:val="0"/>
                <w:sz w:val="16"/>
                <w:szCs w:val="16"/>
              </w:rPr>
            </w:pPr>
            <w:r>
              <w:rPr>
                <w:rFonts w:asciiTheme="minorEastAsia" w:hAnsiTheme="minorEastAsia" w:cstheme="minorEastAsia"/>
                <w:kern w:val="0"/>
                <w:sz w:val="16"/>
                <w:szCs w:val="16"/>
              </w:rPr>
              <w:t>34.63%</w:t>
            </w:r>
          </w:p>
        </w:tc>
        <w:tc>
          <w:tcPr>
            <w:tcW w:w="1039" w:type="dxa"/>
            <w:vAlign w:val="center"/>
          </w:tcPr>
          <w:p w14:paraId="57739795">
            <w:pPr>
              <w:widowControl/>
              <w:adjustRightInd w:val="0"/>
              <w:snapToGrid w:val="0"/>
              <w:jc w:val="right"/>
              <w:rPr>
                <w:rFonts w:asciiTheme="minorEastAsia" w:hAnsiTheme="minorEastAsia" w:cstheme="minorEastAsia"/>
                <w:kern w:val="0"/>
                <w:sz w:val="16"/>
                <w:szCs w:val="16"/>
              </w:rPr>
            </w:pPr>
            <w:r>
              <w:rPr>
                <w:rFonts w:hint="eastAsia" w:asciiTheme="minorEastAsia" w:hAnsiTheme="minorEastAsia" w:cstheme="minorEastAsia"/>
                <w:kern w:val="0"/>
                <w:sz w:val="16"/>
                <w:szCs w:val="16"/>
              </w:rPr>
              <w:t>1</w:t>
            </w:r>
            <w:r>
              <w:rPr>
                <w:rFonts w:asciiTheme="minorEastAsia" w:hAnsiTheme="minorEastAsia" w:cstheme="minorEastAsia"/>
                <w:kern w:val="0"/>
                <w:sz w:val="16"/>
                <w:szCs w:val="16"/>
              </w:rPr>
              <w:t>0,000.00</w:t>
            </w:r>
          </w:p>
        </w:tc>
        <w:tc>
          <w:tcPr>
            <w:tcW w:w="1003" w:type="dxa"/>
            <w:vAlign w:val="center"/>
          </w:tcPr>
          <w:p w14:paraId="15F0B127">
            <w:pPr>
              <w:widowControl/>
              <w:adjustRightInd w:val="0"/>
              <w:snapToGrid w:val="0"/>
              <w:jc w:val="right"/>
              <w:rPr>
                <w:rFonts w:asciiTheme="minorEastAsia" w:hAnsiTheme="minorEastAsia" w:cstheme="minorEastAsia"/>
                <w:kern w:val="0"/>
                <w:sz w:val="16"/>
                <w:szCs w:val="16"/>
              </w:rPr>
            </w:pPr>
            <w:r>
              <w:rPr>
                <w:rFonts w:asciiTheme="minorEastAsia" w:hAnsiTheme="minorEastAsia" w:cstheme="minorEastAsia"/>
                <w:kern w:val="0"/>
                <w:sz w:val="16"/>
                <w:szCs w:val="16"/>
              </w:rPr>
              <w:t>1,000.19</w:t>
            </w:r>
          </w:p>
        </w:tc>
        <w:tc>
          <w:tcPr>
            <w:tcW w:w="917" w:type="dxa"/>
            <w:vAlign w:val="center"/>
          </w:tcPr>
          <w:p w14:paraId="22FDC457">
            <w:pPr>
              <w:widowControl/>
              <w:adjustRightInd w:val="0"/>
              <w:snapToGrid w:val="0"/>
              <w:jc w:val="right"/>
              <w:rPr>
                <w:rFonts w:asciiTheme="minorEastAsia" w:hAnsiTheme="minorEastAsia" w:cstheme="minorEastAsia"/>
                <w:kern w:val="0"/>
                <w:sz w:val="16"/>
                <w:szCs w:val="16"/>
              </w:rPr>
            </w:pPr>
            <w:r>
              <w:rPr>
                <w:rFonts w:asciiTheme="minorEastAsia" w:hAnsiTheme="minorEastAsia" w:cstheme="minorEastAsia"/>
                <w:kern w:val="0"/>
                <w:sz w:val="16"/>
                <w:szCs w:val="16"/>
              </w:rPr>
              <w:t>1,000.00</w:t>
            </w:r>
          </w:p>
        </w:tc>
        <w:tc>
          <w:tcPr>
            <w:tcW w:w="773" w:type="dxa"/>
            <w:vAlign w:val="center"/>
          </w:tcPr>
          <w:p w14:paraId="10318ADC">
            <w:pPr>
              <w:widowControl/>
              <w:adjustRightInd w:val="0"/>
              <w:snapToGrid w:val="0"/>
              <w:jc w:val="right"/>
              <w:rPr>
                <w:rFonts w:asciiTheme="minorEastAsia" w:hAnsiTheme="minorEastAsia" w:cstheme="minorEastAsia"/>
                <w:kern w:val="0"/>
                <w:sz w:val="16"/>
                <w:szCs w:val="16"/>
              </w:rPr>
            </w:pPr>
            <w:r>
              <w:rPr>
                <w:rFonts w:hint="eastAsia" w:asciiTheme="minorEastAsia" w:hAnsiTheme="minorEastAsia" w:cstheme="minorEastAsia"/>
                <w:kern w:val="0"/>
                <w:sz w:val="16"/>
                <w:szCs w:val="16"/>
              </w:rPr>
              <w:t>0.41%</w:t>
            </w:r>
          </w:p>
        </w:tc>
        <w:tc>
          <w:tcPr>
            <w:tcW w:w="1187" w:type="dxa"/>
            <w:vAlign w:val="center"/>
          </w:tcPr>
          <w:p w14:paraId="768C3608">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主债权届满之日起三年</w:t>
            </w:r>
          </w:p>
        </w:tc>
        <w:tc>
          <w:tcPr>
            <w:tcW w:w="429" w:type="dxa"/>
            <w:vAlign w:val="center"/>
          </w:tcPr>
          <w:p w14:paraId="0F113E52">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否</w:t>
            </w:r>
          </w:p>
        </w:tc>
        <w:tc>
          <w:tcPr>
            <w:tcW w:w="692" w:type="dxa"/>
            <w:vAlign w:val="center"/>
          </w:tcPr>
          <w:p w14:paraId="39B237F4">
            <w:pPr>
              <w:widowControl/>
              <w:adjustRightInd w:val="0"/>
              <w:snapToGrid w:val="0"/>
              <w:rPr>
                <w:rFonts w:asciiTheme="minorEastAsia" w:hAnsiTheme="minorEastAsia" w:cstheme="minorEastAsia"/>
                <w:kern w:val="0"/>
                <w:sz w:val="16"/>
                <w:szCs w:val="16"/>
              </w:rPr>
            </w:pPr>
            <w:r>
              <w:rPr>
                <w:rFonts w:hint="eastAsia" w:asciiTheme="minorEastAsia" w:hAnsiTheme="minorEastAsia" w:cstheme="minorEastAsia"/>
                <w:kern w:val="0"/>
                <w:sz w:val="16"/>
                <w:szCs w:val="16"/>
              </w:rPr>
              <w:t>否</w:t>
            </w:r>
          </w:p>
        </w:tc>
      </w:tr>
      <w:tr w14:paraId="4D71B09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7" w:hRule="atLeast"/>
        </w:trPr>
        <w:tc>
          <w:tcPr>
            <w:tcW w:w="1110" w:type="dxa"/>
            <w:gridSpan w:val="2"/>
            <w:vAlign w:val="center"/>
          </w:tcPr>
          <w:p w14:paraId="2324A370">
            <w:pPr>
              <w:widowControl/>
              <w:adjustRightInd w:val="0"/>
              <w:snapToGrid w:val="0"/>
              <w:jc w:val="center"/>
              <w:rPr>
                <w:rFonts w:ascii="宋体" w:hAnsi="宋体"/>
                <w:b/>
                <w:bCs/>
                <w:sz w:val="16"/>
                <w:szCs w:val="16"/>
              </w:rPr>
            </w:pPr>
            <w:r>
              <w:rPr>
                <w:rFonts w:hint="eastAsia" w:ascii="宋体" w:hAnsi="宋体"/>
                <w:b/>
                <w:bCs/>
                <w:sz w:val="16"/>
                <w:szCs w:val="16"/>
              </w:rPr>
              <w:t>合计</w:t>
            </w:r>
          </w:p>
        </w:tc>
        <w:tc>
          <w:tcPr>
            <w:tcW w:w="728" w:type="dxa"/>
            <w:vAlign w:val="center"/>
          </w:tcPr>
          <w:p w14:paraId="7BCF6D4B">
            <w:pPr>
              <w:pStyle w:val="33"/>
              <w:widowControl/>
              <w:spacing w:line="240" w:lineRule="auto"/>
              <w:jc w:val="right"/>
              <w:rPr>
                <w:rFonts w:ascii="宋体" w:hAnsi="宋体" w:eastAsia="宋体"/>
                <w:b/>
                <w:bCs/>
                <w:sz w:val="16"/>
                <w:szCs w:val="16"/>
                <w:lang w:eastAsia="zh-CN"/>
              </w:rPr>
            </w:pPr>
            <w:r>
              <w:rPr>
                <w:rFonts w:hint="eastAsia" w:ascii="宋体" w:hAnsi="宋体" w:eastAsia="宋体"/>
                <w:b/>
                <w:bCs/>
                <w:sz w:val="16"/>
                <w:szCs w:val="16"/>
                <w:lang w:eastAsia="zh-CN"/>
              </w:rPr>
              <w:t>-</w:t>
            </w:r>
          </w:p>
        </w:tc>
        <w:tc>
          <w:tcPr>
            <w:tcW w:w="851" w:type="dxa"/>
            <w:vAlign w:val="center"/>
          </w:tcPr>
          <w:p w14:paraId="300A7246">
            <w:pPr>
              <w:widowControl/>
              <w:jc w:val="right"/>
              <w:rPr>
                <w:rFonts w:asciiTheme="minorEastAsia" w:hAnsiTheme="minorEastAsia" w:cstheme="minorEastAsia"/>
                <w:b/>
                <w:bCs/>
                <w:kern w:val="0"/>
                <w:sz w:val="16"/>
                <w:szCs w:val="16"/>
              </w:rPr>
            </w:pPr>
            <w:r>
              <w:rPr>
                <w:rFonts w:hint="eastAsia" w:asciiTheme="minorEastAsia" w:hAnsiTheme="minorEastAsia" w:cstheme="minorEastAsia"/>
                <w:b/>
                <w:bCs/>
                <w:kern w:val="0"/>
                <w:sz w:val="16"/>
                <w:szCs w:val="16"/>
              </w:rPr>
              <w:t>-</w:t>
            </w:r>
          </w:p>
        </w:tc>
        <w:tc>
          <w:tcPr>
            <w:tcW w:w="1039" w:type="dxa"/>
            <w:vAlign w:val="center"/>
          </w:tcPr>
          <w:p w14:paraId="63D38824">
            <w:pPr>
              <w:widowControl/>
              <w:adjustRightInd w:val="0"/>
              <w:snapToGrid w:val="0"/>
              <w:jc w:val="right"/>
              <w:rPr>
                <w:rFonts w:asciiTheme="minorEastAsia" w:hAnsiTheme="minorEastAsia" w:cstheme="minorEastAsia"/>
                <w:b/>
                <w:bCs/>
                <w:kern w:val="0"/>
                <w:sz w:val="16"/>
                <w:szCs w:val="16"/>
              </w:rPr>
            </w:pPr>
            <w:r>
              <w:rPr>
                <w:rFonts w:hint="eastAsia" w:asciiTheme="minorEastAsia" w:hAnsiTheme="minorEastAsia" w:cstheme="minorEastAsia"/>
                <w:b/>
                <w:bCs/>
                <w:kern w:val="0"/>
                <w:sz w:val="16"/>
                <w:szCs w:val="16"/>
              </w:rPr>
              <w:t>150,000.00</w:t>
            </w:r>
          </w:p>
        </w:tc>
        <w:tc>
          <w:tcPr>
            <w:tcW w:w="1003" w:type="dxa"/>
            <w:vAlign w:val="center"/>
          </w:tcPr>
          <w:p w14:paraId="08567FD7">
            <w:pPr>
              <w:widowControl/>
              <w:adjustRightInd w:val="0"/>
              <w:snapToGrid w:val="0"/>
              <w:jc w:val="right"/>
              <w:rPr>
                <w:rFonts w:asciiTheme="minorEastAsia" w:hAnsiTheme="minorEastAsia" w:cstheme="minorEastAsia"/>
                <w:b/>
                <w:bCs/>
                <w:kern w:val="0"/>
                <w:sz w:val="16"/>
                <w:szCs w:val="16"/>
              </w:rPr>
            </w:pPr>
            <w:r>
              <w:rPr>
                <w:rFonts w:asciiTheme="minorEastAsia" w:hAnsiTheme="minorEastAsia" w:cstheme="minorEastAsia"/>
                <w:b/>
                <w:bCs/>
                <w:kern w:val="0"/>
                <w:sz w:val="16"/>
                <w:szCs w:val="16"/>
              </w:rPr>
              <w:t>61,416.94</w:t>
            </w:r>
          </w:p>
        </w:tc>
        <w:tc>
          <w:tcPr>
            <w:tcW w:w="917" w:type="dxa"/>
            <w:vAlign w:val="center"/>
          </w:tcPr>
          <w:p w14:paraId="3C287889">
            <w:pPr>
              <w:widowControl/>
              <w:adjustRightInd w:val="0"/>
              <w:snapToGrid w:val="0"/>
              <w:jc w:val="right"/>
              <w:rPr>
                <w:rFonts w:asciiTheme="minorEastAsia" w:hAnsiTheme="minorEastAsia" w:cstheme="minorEastAsia"/>
                <w:b/>
                <w:bCs/>
                <w:kern w:val="0"/>
                <w:sz w:val="16"/>
                <w:szCs w:val="16"/>
              </w:rPr>
            </w:pPr>
            <w:r>
              <w:rPr>
                <w:rFonts w:asciiTheme="minorEastAsia" w:hAnsiTheme="minorEastAsia" w:cstheme="minorEastAsia"/>
                <w:b/>
                <w:bCs/>
                <w:kern w:val="0"/>
                <w:sz w:val="16"/>
                <w:szCs w:val="16"/>
              </w:rPr>
              <w:t>6,000.00</w:t>
            </w:r>
          </w:p>
        </w:tc>
        <w:tc>
          <w:tcPr>
            <w:tcW w:w="773" w:type="dxa"/>
            <w:vAlign w:val="center"/>
          </w:tcPr>
          <w:p w14:paraId="05968C1C">
            <w:pPr>
              <w:widowControl/>
              <w:adjustRightInd w:val="0"/>
              <w:snapToGrid w:val="0"/>
              <w:jc w:val="right"/>
              <w:rPr>
                <w:rFonts w:asciiTheme="minorEastAsia" w:hAnsiTheme="minorEastAsia" w:cstheme="minorEastAsia"/>
                <w:b/>
                <w:bCs/>
                <w:kern w:val="0"/>
                <w:sz w:val="16"/>
                <w:szCs w:val="16"/>
              </w:rPr>
            </w:pPr>
            <w:r>
              <w:rPr>
                <w:rFonts w:asciiTheme="minorEastAsia" w:hAnsiTheme="minorEastAsia" w:cstheme="minorEastAsia"/>
                <w:b/>
                <w:bCs/>
                <w:kern w:val="0"/>
                <w:sz w:val="16"/>
                <w:szCs w:val="16"/>
              </w:rPr>
              <w:t>25.45%</w:t>
            </w:r>
          </w:p>
        </w:tc>
        <w:tc>
          <w:tcPr>
            <w:tcW w:w="1187" w:type="dxa"/>
            <w:vAlign w:val="center"/>
          </w:tcPr>
          <w:p w14:paraId="40090B0C">
            <w:pPr>
              <w:widowControl/>
              <w:adjustRightInd w:val="0"/>
              <w:snapToGrid w:val="0"/>
              <w:rPr>
                <w:rFonts w:asciiTheme="minorEastAsia" w:hAnsiTheme="minorEastAsia" w:cstheme="minorEastAsia"/>
                <w:b/>
                <w:bCs/>
                <w:kern w:val="0"/>
                <w:sz w:val="16"/>
                <w:szCs w:val="16"/>
              </w:rPr>
            </w:pPr>
            <w:r>
              <w:rPr>
                <w:rFonts w:hint="eastAsia" w:asciiTheme="minorEastAsia" w:hAnsiTheme="minorEastAsia" w:cstheme="minorEastAsia"/>
                <w:kern w:val="0"/>
                <w:sz w:val="16"/>
                <w:szCs w:val="16"/>
              </w:rPr>
              <w:t>-</w:t>
            </w:r>
          </w:p>
        </w:tc>
        <w:tc>
          <w:tcPr>
            <w:tcW w:w="429" w:type="dxa"/>
            <w:vAlign w:val="center"/>
          </w:tcPr>
          <w:p w14:paraId="79DFDEFE">
            <w:pPr>
              <w:widowControl/>
              <w:adjustRightInd w:val="0"/>
              <w:snapToGrid w:val="0"/>
              <w:rPr>
                <w:rFonts w:asciiTheme="minorEastAsia" w:hAnsiTheme="minorEastAsia" w:cstheme="minorEastAsia"/>
                <w:b/>
                <w:bCs/>
                <w:kern w:val="0"/>
                <w:sz w:val="16"/>
                <w:szCs w:val="16"/>
              </w:rPr>
            </w:pPr>
            <w:r>
              <w:rPr>
                <w:rFonts w:hint="eastAsia" w:asciiTheme="minorEastAsia" w:hAnsiTheme="minorEastAsia" w:cstheme="minorEastAsia"/>
                <w:b/>
                <w:bCs/>
                <w:kern w:val="0"/>
                <w:sz w:val="16"/>
                <w:szCs w:val="16"/>
              </w:rPr>
              <w:t>-</w:t>
            </w:r>
          </w:p>
        </w:tc>
        <w:tc>
          <w:tcPr>
            <w:tcW w:w="692" w:type="dxa"/>
            <w:vAlign w:val="center"/>
          </w:tcPr>
          <w:p w14:paraId="65E930CC">
            <w:pPr>
              <w:widowControl/>
              <w:adjustRightInd w:val="0"/>
              <w:snapToGrid w:val="0"/>
              <w:rPr>
                <w:rFonts w:asciiTheme="minorEastAsia" w:hAnsiTheme="minorEastAsia" w:cstheme="minorEastAsia"/>
                <w:b/>
                <w:bCs/>
                <w:kern w:val="0"/>
                <w:sz w:val="16"/>
                <w:szCs w:val="16"/>
              </w:rPr>
            </w:pPr>
            <w:r>
              <w:rPr>
                <w:rFonts w:hint="eastAsia" w:asciiTheme="minorEastAsia" w:hAnsiTheme="minorEastAsia" w:cstheme="minorEastAsia"/>
                <w:b/>
                <w:bCs/>
                <w:kern w:val="0"/>
                <w:sz w:val="16"/>
                <w:szCs w:val="16"/>
              </w:rPr>
              <w:t>-</w:t>
            </w:r>
          </w:p>
        </w:tc>
      </w:tr>
    </w:tbl>
    <w:p w14:paraId="0C85CEC4">
      <w:pPr>
        <w:widowControl/>
        <w:adjustRightInd w:val="0"/>
        <w:snapToGrid w:val="0"/>
        <w:spacing w:line="560" w:lineRule="exact"/>
        <w:jc w:val="left"/>
        <w:rPr>
          <w:rFonts w:asciiTheme="minorEastAsia" w:hAnsiTheme="minorEastAsia" w:cstheme="minorEastAsia"/>
          <w:color w:val="000000"/>
          <w:kern w:val="0"/>
          <w:sz w:val="18"/>
          <w:szCs w:val="18"/>
        </w:rPr>
      </w:pPr>
      <w:r>
        <w:rPr>
          <w:rFonts w:hint="eastAsia" w:asciiTheme="minorEastAsia" w:hAnsiTheme="minorEastAsia" w:cstheme="minorEastAsia"/>
          <w:color w:val="000000"/>
          <w:kern w:val="0"/>
          <w:sz w:val="18"/>
          <w:szCs w:val="18"/>
        </w:rPr>
        <w:t>说明：本表尾差系四舍五入所致。</w:t>
      </w:r>
    </w:p>
    <w:p w14:paraId="3AC1D2D0">
      <w:pPr>
        <w:widowControl/>
        <w:numPr>
          <w:ilvl w:val="0"/>
          <w:numId w:val="2"/>
        </w:numPr>
        <w:adjustRightInd w:val="0"/>
        <w:snapToGrid w:val="0"/>
        <w:spacing w:line="560" w:lineRule="exact"/>
        <w:ind w:firstLine="562" w:firstLineChars="200"/>
        <w:jc w:val="left"/>
        <w:outlineLvl w:val="0"/>
        <w:rPr>
          <w:rFonts w:asciiTheme="minorEastAsia" w:hAnsiTheme="minorEastAsia" w:cstheme="minorEastAsia"/>
          <w:b/>
          <w:bCs/>
          <w:sz w:val="28"/>
          <w:szCs w:val="28"/>
        </w:rPr>
      </w:pPr>
      <w:r>
        <w:rPr>
          <w:rFonts w:hint="eastAsia" w:asciiTheme="minorEastAsia" w:hAnsiTheme="minorEastAsia" w:cstheme="minorEastAsia"/>
          <w:b/>
          <w:bCs/>
          <w:sz w:val="28"/>
          <w:szCs w:val="28"/>
        </w:rPr>
        <w:t>被担保人基本情况</w:t>
      </w:r>
    </w:p>
    <w:p w14:paraId="38C15805">
      <w:pPr>
        <w:pStyle w:val="17"/>
        <w:widowControl/>
        <w:numPr>
          <w:ilvl w:val="0"/>
          <w:numId w:val="4"/>
        </w:numPr>
        <w:adjustRightInd w:val="0"/>
        <w:snapToGrid w:val="0"/>
        <w:spacing w:line="560" w:lineRule="exact"/>
        <w:ind w:firstLineChars="0"/>
        <w:jc w:val="left"/>
        <w:outlineLvl w:val="1"/>
        <w:rPr>
          <w:rFonts w:asciiTheme="minorEastAsia" w:hAnsiTheme="minorEastAsia" w:cstheme="minorEastAsia"/>
          <w:sz w:val="24"/>
          <w:szCs w:val="24"/>
        </w:rPr>
      </w:pPr>
      <w:r>
        <w:rPr>
          <w:rFonts w:hint="eastAsia" w:asciiTheme="minorEastAsia" w:hAnsiTheme="minorEastAsia" w:cstheme="minorEastAsia"/>
          <w:sz w:val="24"/>
          <w:szCs w:val="24"/>
        </w:rPr>
        <w:t>基本情况</w:t>
      </w:r>
    </w:p>
    <w:p w14:paraId="5D7B4567">
      <w:pPr>
        <w:pStyle w:val="17"/>
        <w:widowControl/>
        <w:adjustRightInd w:val="0"/>
        <w:snapToGrid w:val="0"/>
        <w:spacing w:line="560" w:lineRule="exact"/>
        <w:ind w:left="480" w:firstLine="0" w:firstLineChars="0"/>
        <w:jc w:val="left"/>
        <w:outlineLvl w:val="1"/>
        <w:rPr>
          <w:rFonts w:asciiTheme="minorEastAsia" w:hAnsiTheme="minorEastAsia" w:cstheme="minorEastAsia"/>
          <w:sz w:val="24"/>
          <w:szCs w:val="24"/>
        </w:rPr>
      </w:pPr>
      <w:r>
        <w:rPr>
          <w:rFonts w:hint="eastAsia" w:asciiTheme="minorEastAsia" w:hAnsiTheme="minorEastAsia" w:cstheme="minorEastAsia"/>
          <w:sz w:val="24"/>
          <w:szCs w:val="24"/>
        </w:rPr>
        <w:t>1、</w:t>
      </w:r>
      <w:r>
        <w:rPr>
          <w:rFonts w:hint="eastAsia" w:asciiTheme="minorEastAsia" w:hAnsiTheme="minorEastAsia" w:cstheme="minorEastAsia"/>
          <w:color w:val="000000"/>
          <w:kern w:val="0"/>
          <w:sz w:val="24"/>
          <w:szCs w:val="24"/>
        </w:rPr>
        <w:t>云南变压器电气股份有限公司</w:t>
      </w:r>
    </w:p>
    <w:tbl>
      <w:tblPr>
        <w:tblStyle w:val="11"/>
        <w:tblW w:w="5000" w:type="pct"/>
        <w:tblInd w:w="0" w:type="dxa"/>
        <w:tblLayout w:type="autofit"/>
        <w:tblCellMar>
          <w:top w:w="0" w:type="dxa"/>
          <w:left w:w="0" w:type="dxa"/>
          <w:bottom w:w="0" w:type="dxa"/>
          <w:right w:w="0" w:type="dxa"/>
        </w:tblCellMar>
      </w:tblPr>
      <w:tblGrid>
        <w:gridCol w:w="2514"/>
        <w:gridCol w:w="1512"/>
        <w:gridCol w:w="2126"/>
        <w:gridCol w:w="2266"/>
      </w:tblGrid>
      <w:tr w14:paraId="7FB95238">
        <w:tblPrEx>
          <w:tblCellMar>
            <w:top w:w="0" w:type="dxa"/>
            <w:left w:w="0" w:type="dxa"/>
            <w:bottom w:w="0" w:type="dxa"/>
            <w:right w:w="0" w:type="dxa"/>
          </w:tblCellMar>
        </w:tblPrEx>
        <w:trPr>
          <w:trHeight w:val="397" w:hRule="atLeast"/>
        </w:trPr>
        <w:tc>
          <w:tcPr>
            <w:tcW w:w="1493"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6C5A8537">
            <w:pPr>
              <w:widowControl/>
              <w:adjustRightInd w:val="0"/>
              <w:snapToGrid w:val="0"/>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被担保人类型</w:t>
            </w:r>
          </w:p>
        </w:tc>
        <w:tc>
          <w:tcPr>
            <w:tcW w:w="3507" w:type="pct"/>
            <w:gridSpan w:val="3"/>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67B5812B">
            <w:pPr>
              <w:adjustRightInd w:val="0"/>
              <w:snapToGrid w:val="0"/>
              <w:rPr>
                <w:rFonts w:asciiTheme="minorEastAsia" w:hAnsiTheme="minorEastAsia" w:cstheme="minorEastAsia"/>
                <w:color w:val="000000"/>
                <w:sz w:val="16"/>
                <w:szCs w:val="16"/>
              </w:rPr>
            </w:pPr>
            <w:r>
              <w:rPr>
                <w:rFonts w:hint="eastAsia" w:asciiTheme="minorEastAsia" w:hAnsiTheme="minorEastAsia" w:cstheme="minorEastAsia"/>
                <w:color w:val="000000"/>
                <w:sz w:val="16"/>
                <w:szCs w:val="16"/>
              </w:rPr>
              <w:t>☑法人</w:t>
            </w:r>
          </w:p>
          <w:p w14:paraId="392947EE">
            <w:pPr>
              <w:widowControl/>
              <w:adjustRightInd w:val="0"/>
              <w:snapToGrid w:val="0"/>
              <w:rPr>
                <w:rFonts w:asciiTheme="minorEastAsia" w:hAnsiTheme="minorEastAsia" w:cstheme="minorEastAsia"/>
                <w:color w:val="000000"/>
                <w:kern w:val="0"/>
                <w:sz w:val="16"/>
                <w:szCs w:val="16"/>
              </w:rPr>
            </w:pPr>
            <w:r>
              <w:rPr>
                <w:rFonts w:hint="eastAsia" w:asciiTheme="minorEastAsia" w:hAnsiTheme="minorEastAsia" w:cstheme="minorEastAsia"/>
                <w:color w:val="000000"/>
                <w:sz w:val="16"/>
                <w:szCs w:val="16"/>
              </w:rPr>
              <w:t>□其他</w:t>
            </w:r>
            <w:r>
              <w:rPr>
                <w:rFonts w:hint="eastAsia" w:asciiTheme="minorEastAsia" w:hAnsiTheme="minorEastAsia" w:cstheme="minorEastAsia"/>
                <w:sz w:val="16"/>
                <w:szCs w:val="16"/>
              </w:rPr>
              <w:t>______________</w:t>
            </w:r>
            <w:r>
              <w:rPr>
                <w:rFonts w:hint="eastAsia" w:asciiTheme="minorEastAsia" w:hAnsiTheme="minorEastAsia" w:cstheme="minorEastAsia"/>
                <w:color w:val="000000"/>
                <w:sz w:val="16"/>
                <w:szCs w:val="16"/>
              </w:rPr>
              <w:t>（请注明）</w:t>
            </w:r>
          </w:p>
        </w:tc>
      </w:tr>
      <w:tr w14:paraId="13DA07E3">
        <w:tblPrEx>
          <w:tblCellMar>
            <w:top w:w="0" w:type="dxa"/>
            <w:left w:w="0" w:type="dxa"/>
            <w:bottom w:w="0" w:type="dxa"/>
            <w:right w:w="0" w:type="dxa"/>
          </w:tblCellMar>
        </w:tblPrEx>
        <w:trPr>
          <w:trHeight w:val="397" w:hRule="atLeast"/>
        </w:trPr>
        <w:tc>
          <w:tcPr>
            <w:tcW w:w="1493"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0394299B">
            <w:pPr>
              <w:widowControl/>
              <w:adjustRightInd w:val="0"/>
              <w:snapToGrid w:val="0"/>
              <w:rPr>
                <w:rFonts w:asciiTheme="minorEastAsia" w:hAnsiTheme="minorEastAsia" w:cstheme="minorEastAsia"/>
                <w:color w:val="000000"/>
                <w:kern w:val="0"/>
                <w:sz w:val="16"/>
                <w:szCs w:val="16"/>
              </w:rPr>
            </w:pPr>
            <w:r>
              <w:rPr>
                <w:rFonts w:hint="eastAsia" w:asciiTheme="minorEastAsia" w:hAnsiTheme="minorEastAsia" w:cstheme="minorEastAsia"/>
                <w:color w:val="000000"/>
                <w:sz w:val="16"/>
                <w:szCs w:val="16"/>
              </w:rPr>
              <w:t>被担保人名称</w:t>
            </w:r>
          </w:p>
        </w:tc>
        <w:tc>
          <w:tcPr>
            <w:tcW w:w="3507" w:type="pct"/>
            <w:gridSpan w:val="3"/>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660CCB24">
            <w:pPr>
              <w:widowControl/>
              <w:adjustRightInd w:val="0"/>
              <w:snapToGrid w:val="0"/>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云南变压器电气股份有限公司</w:t>
            </w:r>
          </w:p>
        </w:tc>
      </w:tr>
      <w:tr w14:paraId="5B4A98BC">
        <w:tblPrEx>
          <w:tblCellMar>
            <w:top w:w="0" w:type="dxa"/>
            <w:left w:w="0" w:type="dxa"/>
            <w:bottom w:w="0" w:type="dxa"/>
            <w:right w:w="0" w:type="dxa"/>
          </w:tblCellMar>
        </w:tblPrEx>
        <w:trPr>
          <w:trHeight w:val="397" w:hRule="atLeast"/>
        </w:trPr>
        <w:tc>
          <w:tcPr>
            <w:tcW w:w="1493"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2E6D40D8">
            <w:pPr>
              <w:widowControl/>
              <w:adjustRightInd w:val="0"/>
              <w:snapToGrid w:val="0"/>
              <w:rPr>
                <w:rFonts w:asciiTheme="minorEastAsia" w:hAnsiTheme="minorEastAsia" w:cstheme="minorEastAsia"/>
                <w:color w:val="000000"/>
                <w:sz w:val="16"/>
                <w:szCs w:val="16"/>
              </w:rPr>
            </w:pPr>
            <w:r>
              <w:rPr>
                <w:rFonts w:hint="eastAsia" w:asciiTheme="minorEastAsia" w:hAnsiTheme="minorEastAsia" w:cstheme="minorEastAsia"/>
                <w:color w:val="000000"/>
                <w:sz w:val="16"/>
                <w:szCs w:val="16"/>
              </w:rPr>
              <w:t>被担保人类型及上市公司持股情况</w:t>
            </w:r>
          </w:p>
        </w:tc>
        <w:tc>
          <w:tcPr>
            <w:tcW w:w="3507" w:type="pct"/>
            <w:gridSpan w:val="3"/>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305D6CD8">
            <w:pPr>
              <w:widowControl/>
              <w:adjustRightInd w:val="0"/>
              <w:snapToGrid w:val="0"/>
              <w:rPr>
                <w:rFonts w:asciiTheme="minorEastAsia" w:hAnsiTheme="minorEastAsia" w:cstheme="minorEastAsia"/>
                <w:color w:val="000000"/>
                <w:sz w:val="16"/>
                <w:szCs w:val="16"/>
              </w:rPr>
            </w:pPr>
            <w:r>
              <w:rPr>
                <w:rFonts w:hint="eastAsia" w:asciiTheme="minorEastAsia" w:hAnsiTheme="minorEastAsia" w:cstheme="minorEastAsia"/>
                <w:color w:val="000000"/>
                <w:sz w:val="16"/>
                <w:szCs w:val="16"/>
              </w:rPr>
              <w:t>☑全资子公司</w:t>
            </w:r>
          </w:p>
          <w:p w14:paraId="0B257429">
            <w:pPr>
              <w:widowControl/>
              <w:adjustRightInd w:val="0"/>
              <w:snapToGrid w:val="0"/>
              <w:rPr>
                <w:rFonts w:asciiTheme="minorEastAsia" w:hAnsiTheme="minorEastAsia" w:cstheme="minorEastAsia"/>
                <w:color w:val="000000"/>
                <w:sz w:val="16"/>
                <w:szCs w:val="16"/>
              </w:rPr>
            </w:pPr>
            <w:r>
              <w:rPr>
                <w:rFonts w:hint="eastAsia" w:asciiTheme="minorEastAsia" w:hAnsiTheme="minorEastAsia" w:cstheme="minorEastAsia"/>
                <w:color w:val="000000"/>
                <w:sz w:val="16"/>
                <w:szCs w:val="16"/>
              </w:rPr>
              <w:t>□控股子公司</w:t>
            </w:r>
          </w:p>
          <w:p w14:paraId="36E60CA1">
            <w:pPr>
              <w:widowControl/>
              <w:adjustRightInd w:val="0"/>
              <w:snapToGrid w:val="0"/>
              <w:rPr>
                <w:rFonts w:asciiTheme="minorEastAsia" w:hAnsiTheme="minorEastAsia" w:cstheme="minorEastAsia"/>
                <w:color w:val="000000"/>
                <w:sz w:val="16"/>
                <w:szCs w:val="16"/>
              </w:rPr>
            </w:pPr>
            <w:r>
              <w:rPr>
                <w:rFonts w:hint="eastAsia" w:asciiTheme="minorEastAsia" w:hAnsiTheme="minorEastAsia" w:cstheme="minorEastAsia"/>
                <w:color w:val="000000"/>
                <w:sz w:val="16"/>
                <w:szCs w:val="16"/>
              </w:rPr>
              <w:t>□参股公司</w:t>
            </w:r>
          </w:p>
          <w:p w14:paraId="327F5E1F">
            <w:pPr>
              <w:widowControl/>
              <w:adjustRightInd w:val="0"/>
              <w:snapToGrid w:val="0"/>
              <w:rPr>
                <w:rFonts w:asciiTheme="minorEastAsia" w:hAnsiTheme="minorEastAsia" w:cstheme="minorEastAsia"/>
                <w:color w:val="000000"/>
                <w:sz w:val="16"/>
                <w:szCs w:val="16"/>
              </w:rPr>
            </w:pPr>
            <w:r>
              <w:rPr>
                <w:rFonts w:hint="eastAsia" w:asciiTheme="minorEastAsia" w:hAnsiTheme="minorEastAsia" w:cstheme="minorEastAsia"/>
                <w:color w:val="000000"/>
                <w:sz w:val="16"/>
                <w:szCs w:val="16"/>
              </w:rPr>
              <w:t>□其他</w:t>
            </w:r>
            <w:r>
              <w:rPr>
                <w:rFonts w:hint="eastAsia" w:asciiTheme="minorEastAsia" w:hAnsiTheme="minorEastAsia" w:cstheme="minorEastAsia"/>
                <w:sz w:val="16"/>
                <w:szCs w:val="16"/>
              </w:rPr>
              <w:t>_______</w:t>
            </w:r>
            <w:r>
              <w:rPr>
                <w:rFonts w:asciiTheme="minorEastAsia" w:hAnsiTheme="minorEastAsia" w:cstheme="minorEastAsia"/>
                <w:sz w:val="16"/>
                <w:szCs w:val="16"/>
              </w:rPr>
              <w:t>_</w:t>
            </w:r>
            <w:r>
              <w:rPr>
                <w:rFonts w:hint="eastAsia" w:asciiTheme="minorEastAsia" w:hAnsiTheme="minorEastAsia" w:cstheme="minorEastAsia"/>
                <w:sz w:val="16"/>
                <w:szCs w:val="16"/>
              </w:rPr>
              <w:t>______</w:t>
            </w:r>
            <w:r>
              <w:rPr>
                <w:rFonts w:hint="eastAsia" w:asciiTheme="minorEastAsia" w:hAnsiTheme="minorEastAsia" w:cstheme="minorEastAsia"/>
                <w:color w:val="000000"/>
                <w:sz w:val="16"/>
                <w:szCs w:val="16"/>
              </w:rPr>
              <w:t>（请注明）</w:t>
            </w:r>
          </w:p>
        </w:tc>
      </w:tr>
      <w:tr w14:paraId="1BDD13A7">
        <w:tblPrEx>
          <w:tblCellMar>
            <w:top w:w="0" w:type="dxa"/>
            <w:left w:w="0" w:type="dxa"/>
            <w:bottom w:w="0" w:type="dxa"/>
            <w:right w:w="0" w:type="dxa"/>
          </w:tblCellMar>
        </w:tblPrEx>
        <w:trPr>
          <w:trHeight w:val="397" w:hRule="atLeast"/>
        </w:trPr>
        <w:tc>
          <w:tcPr>
            <w:tcW w:w="1493"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57D25D74">
            <w:pPr>
              <w:widowControl/>
              <w:adjustRightInd w:val="0"/>
              <w:snapToGrid w:val="0"/>
              <w:rPr>
                <w:rFonts w:asciiTheme="minorEastAsia" w:hAnsiTheme="minorEastAsia" w:cstheme="minorEastAsia"/>
                <w:color w:val="000000"/>
                <w:sz w:val="16"/>
                <w:szCs w:val="16"/>
              </w:rPr>
            </w:pPr>
            <w:r>
              <w:rPr>
                <w:rFonts w:hint="eastAsia" w:asciiTheme="minorEastAsia" w:hAnsiTheme="minorEastAsia" w:cstheme="minorEastAsia"/>
                <w:color w:val="000000"/>
                <w:sz w:val="16"/>
                <w:szCs w:val="16"/>
              </w:rPr>
              <w:t>主要股东及持股比例</w:t>
            </w:r>
          </w:p>
        </w:tc>
        <w:tc>
          <w:tcPr>
            <w:tcW w:w="3507" w:type="pct"/>
            <w:gridSpan w:val="3"/>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3C582054">
            <w:pPr>
              <w:widowControl/>
              <w:adjustRightInd w:val="0"/>
              <w:snapToGrid w:val="0"/>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望变电气持股100%</w:t>
            </w:r>
          </w:p>
        </w:tc>
      </w:tr>
      <w:tr w14:paraId="66646E4C">
        <w:tblPrEx>
          <w:tblCellMar>
            <w:top w:w="0" w:type="dxa"/>
            <w:left w:w="0" w:type="dxa"/>
            <w:bottom w:w="0" w:type="dxa"/>
            <w:right w:w="0" w:type="dxa"/>
          </w:tblCellMar>
        </w:tblPrEx>
        <w:trPr>
          <w:trHeight w:val="397" w:hRule="atLeast"/>
        </w:trPr>
        <w:tc>
          <w:tcPr>
            <w:tcW w:w="1493"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0B47BF0B">
            <w:pPr>
              <w:widowControl/>
              <w:adjustRightInd w:val="0"/>
              <w:snapToGrid w:val="0"/>
              <w:rPr>
                <w:rFonts w:asciiTheme="minorEastAsia" w:hAnsiTheme="minorEastAsia" w:cstheme="minorEastAsia"/>
                <w:color w:val="000000"/>
                <w:kern w:val="0"/>
                <w:sz w:val="16"/>
                <w:szCs w:val="16"/>
              </w:rPr>
            </w:pPr>
            <w:r>
              <w:rPr>
                <w:rFonts w:hint="eastAsia" w:asciiTheme="minorEastAsia" w:hAnsiTheme="minorEastAsia" w:cstheme="minorEastAsia"/>
                <w:color w:val="000000"/>
                <w:sz w:val="16"/>
                <w:szCs w:val="16"/>
              </w:rPr>
              <w:t>法定代表人</w:t>
            </w:r>
          </w:p>
        </w:tc>
        <w:tc>
          <w:tcPr>
            <w:tcW w:w="3507" w:type="pct"/>
            <w:gridSpan w:val="3"/>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5A78C683">
            <w:pPr>
              <w:widowControl/>
              <w:adjustRightInd w:val="0"/>
              <w:snapToGrid w:val="0"/>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肖斌</w:t>
            </w:r>
          </w:p>
        </w:tc>
      </w:tr>
      <w:tr w14:paraId="2C8B97EE">
        <w:tblPrEx>
          <w:tblCellMar>
            <w:top w:w="0" w:type="dxa"/>
            <w:left w:w="0" w:type="dxa"/>
            <w:bottom w:w="0" w:type="dxa"/>
            <w:right w:w="0" w:type="dxa"/>
          </w:tblCellMar>
        </w:tblPrEx>
        <w:trPr>
          <w:trHeight w:val="397" w:hRule="atLeast"/>
        </w:trPr>
        <w:tc>
          <w:tcPr>
            <w:tcW w:w="1493"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35E84A3A">
            <w:pPr>
              <w:widowControl/>
              <w:adjustRightInd w:val="0"/>
              <w:snapToGrid w:val="0"/>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统一社会信用代码</w:t>
            </w:r>
          </w:p>
        </w:tc>
        <w:tc>
          <w:tcPr>
            <w:tcW w:w="3507" w:type="pct"/>
            <w:gridSpan w:val="3"/>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2B746D23">
            <w:pPr>
              <w:widowControl/>
              <w:adjustRightInd w:val="0"/>
              <w:snapToGrid w:val="0"/>
              <w:rPr>
                <w:rFonts w:asciiTheme="minorEastAsia" w:hAnsiTheme="minorEastAsia" w:cstheme="minorEastAsia"/>
                <w:color w:val="000000"/>
                <w:kern w:val="0"/>
                <w:sz w:val="16"/>
                <w:szCs w:val="16"/>
              </w:rPr>
            </w:pPr>
            <w:r>
              <w:rPr>
                <w:rFonts w:hint="eastAsia" w:ascii="宋体" w:hAnsi="宋体" w:cs="宋体"/>
                <w:bCs/>
                <w:snapToGrid w:val="0"/>
                <w:kern w:val="0"/>
                <w:sz w:val="16"/>
                <w:szCs w:val="16"/>
              </w:rPr>
              <w:t>91530000713402501X</w:t>
            </w:r>
          </w:p>
        </w:tc>
      </w:tr>
      <w:tr w14:paraId="6FB57E07">
        <w:tblPrEx>
          <w:tblCellMar>
            <w:top w:w="0" w:type="dxa"/>
            <w:left w:w="0" w:type="dxa"/>
            <w:bottom w:w="0" w:type="dxa"/>
            <w:right w:w="0" w:type="dxa"/>
          </w:tblCellMar>
        </w:tblPrEx>
        <w:trPr>
          <w:trHeight w:val="397" w:hRule="atLeast"/>
        </w:trPr>
        <w:tc>
          <w:tcPr>
            <w:tcW w:w="1493"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0250527E">
            <w:pPr>
              <w:widowControl/>
              <w:adjustRightInd w:val="0"/>
              <w:snapToGrid w:val="0"/>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成立时间</w:t>
            </w:r>
          </w:p>
        </w:tc>
        <w:tc>
          <w:tcPr>
            <w:tcW w:w="3507" w:type="pct"/>
            <w:gridSpan w:val="3"/>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5E7954C2">
            <w:pPr>
              <w:widowControl/>
              <w:adjustRightInd w:val="0"/>
              <w:snapToGrid w:val="0"/>
              <w:rPr>
                <w:rFonts w:asciiTheme="minorEastAsia" w:hAnsiTheme="minorEastAsia" w:cstheme="minorEastAsia"/>
                <w:color w:val="000000"/>
                <w:kern w:val="0"/>
                <w:sz w:val="16"/>
                <w:szCs w:val="16"/>
              </w:rPr>
            </w:pPr>
            <w:r>
              <w:rPr>
                <w:rFonts w:hint="eastAsia" w:ascii="宋体" w:hAnsi="宋体" w:cs="宋体"/>
                <w:bCs/>
                <w:snapToGrid w:val="0"/>
                <w:kern w:val="0"/>
                <w:sz w:val="16"/>
                <w:szCs w:val="16"/>
              </w:rPr>
              <w:t>1999年1月23日</w:t>
            </w:r>
          </w:p>
        </w:tc>
      </w:tr>
      <w:tr w14:paraId="3D3906B9">
        <w:tblPrEx>
          <w:tblCellMar>
            <w:top w:w="0" w:type="dxa"/>
            <w:left w:w="0" w:type="dxa"/>
            <w:bottom w:w="0" w:type="dxa"/>
            <w:right w:w="0" w:type="dxa"/>
          </w:tblCellMar>
        </w:tblPrEx>
        <w:trPr>
          <w:trHeight w:val="397" w:hRule="atLeast"/>
        </w:trPr>
        <w:tc>
          <w:tcPr>
            <w:tcW w:w="1493"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20B0C470">
            <w:pPr>
              <w:widowControl/>
              <w:adjustRightInd w:val="0"/>
              <w:snapToGrid w:val="0"/>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注册地</w:t>
            </w:r>
          </w:p>
        </w:tc>
        <w:tc>
          <w:tcPr>
            <w:tcW w:w="3507" w:type="pct"/>
            <w:gridSpan w:val="3"/>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0F7F4F8D">
            <w:pPr>
              <w:widowControl/>
              <w:adjustRightInd w:val="0"/>
              <w:snapToGrid w:val="0"/>
              <w:jc w:val="left"/>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中国（云南）自由贸易试验区昆明片区经开区洛羊街道办事处拓翔路</w:t>
            </w:r>
            <w:r>
              <w:rPr>
                <w:rFonts w:asciiTheme="minorEastAsia" w:hAnsiTheme="minorEastAsia" w:cstheme="minorEastAsia"/>
                <w:color w:val="000000"/>
                <w:kern w:val="0"/>
                <w:sz w:val="16"/>
                <w:szCs w:val="16"/>
              </w:rPr>
              <w:t>212号</w:t>
            </w:r>
          </w:p>
        </w:tc>
      </w:tr>
      <w:tr w14:paraId="345968B3">
        <w:tblPrEx>
          <w:tblCellMar>
            <w:top w:w="0" w:type="dxa"/>
            <w:left w:w="0" w:type="dxa"/>
            <w:bottom w:w="0" w:type="dxa"/>
            <w:right w:w="0" w:type="dxa"/>
          </w:tblCellMar>
        </w:tblPrEx>
        <w:trPr>
          <w:trHeight w:val="397" w:hRule="atLeast"/>
        </w:trPr>
        <w:tc>
          <w:tcPr>
            <w:tcW w:w="1493"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4FC3BA9A">
            <w:pPr>
              <w:widowControl/>
              <w:adjustRightInd w:val="0"/>
              <w:snapToGrid w:val="0"/>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注册资本</w:t>
            </w:r>
          </w:p>
        </w:tc>
        <w:tc>
          <w:tcPr>
            <w:tcW w:w="3507" w:type="pct"/>
            <w:gridSpan w:val="3"/>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6556273C">
            <w:pPr>
              <w:widowControl/>
              <w:adjustRightInd w:val="0"/>
              <w:snapToGrid w:val="0"/>
              <w:jc w:val="left"/>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人民币</w:t>
            </w:r>
            <w:r>
              <w:rPr>
                <w:rFonts w:asciiTheme="minorEastAsia" w:hAnsiTheme="minorEastAsia" w:cstheme="minorEastAsia"/>
                <w:color w:val="000000"/>
                <w:kern w:val="0"/>
                <w:sz w:val="16"/>
                <w:szCs w:val="16"/>
              </w:rPr>
              <w:t>10,041.3641万元</w:t>
            </w:r>
          </w:p>
        </w:tc>
      </w:tr>
      <w:tr w14:paraId="67280328">
        <w:tblPrEx>
          <w:tblCellMar>
            <w:top w:w="0" w:type="dxa"/>
            <w:left w:w="0" w:type="dxa"/>
            <w:bottom w:w="0" w:type="dxa"/>
            <w:right w:w="0" w:type="dxa"/>
          </w:tblCellMar>
        </w:tblPrEx>
        <w:trPr>
          <w:trHeight w:val="397" w:hRule="atLeast"/>
        </w:trPr>
        <w:tc>
          <w:tcPr>
            <w:tcW w:w="1493"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65126F65">
            <w:pPr>
              <w:widowControl/>
              <w:adjustRightInd w:val="0"/>
              <w:snapToGrid w:val="0"/>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公司类型</w:t>
            </w:r>
          </w:p>
        </w:tc>
        <w:tc>
          <w:tcPr>
            <w:tcW w:w="3507" w:type="pct"/>
            <w:gridSpan w:val="3"/>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0F4863C4">
            <w:pPr>
              <w:widowControl/>
              <w:adjustRightInd w:val="0"/>
              <w:snapToGrid w:val="0"/>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股份有限公司（非上市）</w:t>
            </w:r>
          </w:p>
        </w:tc>
      </w:tr>
      <w:tr w14:paraId="25001A5C">
        <w:tblPrEx>
          <w:tblCellMar>
            <w:top w:w="0" w:type="dxa"/>
            <w:left w:w="0" w:type="dxa"/>
            <w:bottom w:w="0" w:type="dxa"/>
            <w:right w:w="0" w:type="dxa"/>
          </w:tblCellMar>
        </w:tblPrEx>
        <w:trPr>
          <w:trHeight w:val="397" w:hRule="atLeast"/>
        </w:trPr>
        <w:tc>
          <w:tcPr>
            <w:tcW w:w="1493"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050E1523">
            <w:pPr>
              <w:widowControl/>
              <w:adjustRightInd w:val="0"/>
              <w:snapToGrid w:val="0"/>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经营范围</w:t>
            </w:r>
          </w:p>
        </w:tc>
        <w:tc>
          <w:tcPr>
            <w:tcW w:w="3507" w:type="pct"/>
            <w:gridSpan w:val="3"/>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30A66FE6">
            <w:pPr>
              <w:widowControl/>
              <w:adjustRightInd w:val="0"/>
              <w:snapToGrid w:val="0"/>
              <w:jc w:val="left"/>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各种变压器的生产制造、销售；变压器产品生产所需的原辅助材料、电磁线、硅钢片、机械设备、仪器仪表、备品、备件、零配件、高低压开关柜、箱式变电站、电线电缆及相关技术，变压器修理，电子电器产品；货物进出口、技术进出口业务；电力工程施工总承包；电力设施承装（修、试）业务。</w:t>
            </w:r>
          </w:p>
        </w:tc>
      </w:tr>
      <w:tr w14:paraId="3E55522F">
        <w:tblPrEx>
          <w:tblCellMar>
            <w:top w:w="0" w:type="dxa"/>
            <w:left w:w="0" w:type="dxa"/>
            <w:bottom w:w="0" w:type="dxa"/>
            <w:right w:w="0" w:type="dxa"/>
          </w:tblCellMar>
        </w:tblPrEx>
        <w:trPr>
          <w:trHeight w:val="397" w:hRule="atLeast"/>
        </w:trPr>
        <w:tc>
          <w:tcPr>
            <w:tcW w:w="1493" w:type="pct"/>
            <w:vMerge w:val="restar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100006A7">
            <w:pPr>
              <w:widowControl/>
              <w:adjustRightInd w:val="0"/>
              <w:snapToGrid w:val="0"/>
              <w:jc w:val="left"/>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主要财务指标（万元）</w:t>
            </w:r>
          </w:p>
        </w:tc>
        <w:tc>
          <w:tcPr>
            <w:tcW w:w="898"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6C0BF63A">
            <w:pPr>
              <w:widowControl/>
              <w:adjustRightInd w:val="0"/>
              <w:snapToGrid w:val="0"/>
              <w:jc w:val="center"/>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项目</w:t>
            </w:r>
          </w:p>
        </w:tc>
        <w:tc>
          <w:tcPr>
            <w:tcW w:w="1263"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70C8BED1">
            <w:pPr>
              <w:widowControl/>
              <w:adjustRightInd w:val="0"/>
              <w:snapToGrid w:val="0"/>
              <w:jc w:val="center"/>
              <w:rPr>
                <w:rFonts w:ascii="宋体" w:hAnsi="宋体" w:cs="宋体"/>
                <w:kern w:val="0"/>
                <w:sz w:val="16"/>
                <w:szCs w:val="16"/>
              </w:rPr>
            </w:pPr>
            <w:r>
              <w:rPr>
                <w:rFonts w:hint="eastAsia" w:ascii="宋体" w:hAnsi="宋体" w:cs="宋体"/>
                <w:kern w:val="0"/>
                <w:sz w:val="16"/>
                <w:szCs w:val="16"/>
              </w:rPr>
              <w:t>2025年</w:t>
            </w:r>
            <w:r>
              <w:rPr>
                <w:rFonts w:ascii="宋体" w:hAnsi="宋体" w:cs="宋体"/>
                <w:kern w:val="0"/>
                <w:sz w:val="16"/>
                <w:szCs w:val="16"/>
              </w:rPr>
              <w:t>6</w:t>
            </w:r>
            <w:r>
              <w:rPr>
                <w:rFonts w:hint="eastAsia" w:ascii="宋体" w:hAnsi="宋体" w:cs="宋体"/>
                <w:kern w:val="0"/>
                <w:sz w:val="16"/>
                <w:szCs w:val="16"/>
              </w:rPr>
              <w:t>月</w:t>
            </w:r>
            <w:r>
              <w:rPr>
                <w:rFonts w:ascii="宋体" w:hAnsi="宋体" w:cs="宋体"/>
                <w:kern w:val="0"/>
                <w:sz w:val="16"/>
                <w:szCs w:val="16"/>
              </w:rPr>
              <w:t>30</w:t>
            </w:r>
            <w:r>
              <w:rPr>
                <w:rFonts w:hint="eastAsia" w:ascii="宋体" w:hAnsi="宋体" w:cs="宋体"/>
                <w:kern w:val="0"/>
                <w:sz w:val="16"/>
                <w:szCs w:val="16"/>
              </w:rPr>
              <w:t>日</w:t>
            </w:r>
          </w:p>
          <w:p w14:paraId="21F20CCD">
            <w:pPr>
              <w:widowControl/>
              <w:adjustRightInd w:val="0"/>
              <w:snapToGrid w:val="0"/>
              <w:jc w:val="center"/>
              <w:rPr>
                <w:rFonts w:asciiTheme="minorEastAsia" w:hAnsiTheme="minorEastAsia" w:cstheme="minorEastAsia"/>
                <w:color w:val="FF0000"/>
                <w:kern w:val="0"/>
                <w:sz w:val="16"/>
                <w:szCs w:val="16"/>
              </w:rPr>
            </w:pPr>
            <w:r>
              <w:rPr>
                <w:rFonts w:hint="eastAsia" w:ascii="宋体" w:hAnsi="宋体" w:cs="宋体"/>
                <w:kern w:val="0"/>
                <w:sz w:val="16"/>
                <w:szCs w:val="16"/>
              </w:rPr>
              <w:t>（未经审计）</w:t>
            </w:r>
          </w:p>
        </w:tc>
        <w:tc>
          <w:tcPr>
            <w:tcW w:w="1346"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19403FAE">
            <w:pPr>
              <w:widowControl/>
              <w:adjustRightInd w:val="0"/>
              <w:snapToGrid w:val="0"/>
              <w:jc w:val="center"/>
              <w:rPr>
                <w:rFonts w:ascii="宋体" w:hAnsi="宋体" w:cs="宋体"/>
                <w:kern w:val="0"/>
                <w:sz w:val="16"/>
                <w:szCs w:val="16"/>
              </w:rPr>
            </w:pPr>
            <w:r>
              <w:rPr>
                <w:rFonts w:hint="eastAsia" w:ascii="宋体" w:hAnsi="宋体" w:cs="宋体"/>
                <w:kern w:val="0"/>
                <w:sz w:val="16"/>
                <w:szCs w:val="16"/>
              </w:rPr>
              <w:t>2024年12月31日</w:t>
            </w:r>
          </w:p>
          <w:p w14:paraId="5DE1E685">
            <w:pPr>
              <w:widowControl/>
              <w:adjustRightInd w:val="0"/>
              <w:snapToGrid w:val="0"/>
              <w:jc w:val="center"/>
              <w:rPr>
                <w:rFonts w:asciiTheme="minorEastAsia" w:hAnsiTheme="minorEastAsia" w:cstheme="minorEastAsia"/>
                <w:color w:val="FF0000"/>
                <w:kern w:val="0"/>
                <w:sz w:val="16"/>
                <w:szCs w:val="16"/>
              </w:rPr>
            </w:pPr>
            <w:r>
              <w:rPr>
                <w:rFonts w:hint="eastAsia" w:ascii="宋体" w:hAnsi="宋体" w:cs="宋体"/>
                <w:kern w:val="0"/>
                <w:sz w:val="16"/>
                <w:szCs w:val="16"/>
              </w:rPr>
              <w:t>（经审计）</w:t>
            </w:r>
          </w:p>
        </w:tc>
      </w:tr>
      <w:tr w14:paraId="77A65512">
        <w:tblPrEx>
          <w:tblCellMar>
            <w:top w:w="0" w:type="dxa"/>
            <w:left w:w="0" w:type="dxa"/>
            <w:bottom w:w="0" w:type="dxa"/>
            <w:right w:w="0" w:type="dxa"/>
          </w:tblCellMar>
        </w:tblPrEx>
        <w:trPr>
          <w:trHeight w:val="397" w:hRule="atLeast"/>
        </w:trPr>
        <w:tc>
          <w:tcPr>
            <w:tcW w:w="1493" w:type="pct"/>
            <w:vMerge w:val="continue"/>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6A3EB50E">
            <w:pPr>
              <w:widowControl/>
              <w:adjustRightInd w:val="0"/>
              <w:snapToGrid w:val="0"/>
              <w:jc w:val="left"/>
              <w:rPr>
                <w:rFonts w:asciiTheme="minorEastAsia" w:hAnsiTheme="minorEastAsia" w:cstheme="minorEastAsia"/>
                <w:color w:val="000000"/>
                <w:kern w:val="0"/>
                <w:sz w:val="16"/>
                <w:szCs w:val="16"/>
              </w:rPr>
            </w:pPr>
          </w:p>
        </w:tc>
        <w:tc>
          <w:tcPr>
            <w:tcW w:w="898"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02B4CE14">
            <w:pPr>
              <w:widowControl/>
              <w:adjustRightInd w:val="0"/>
              <w:snapToGrid w:val="0"/>
              <w:jc w:val="left"/>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资产总额</w:t>
            </w:r>
          </w:p>
        </w:tc>
        <w:tc>
          <w:tcPr>
            <w:tcW w:w="1263"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6D528FA2">
            <w:pPr>
              <w:widowControl/>
              <w:jc w:val="right"/>
              <w:textAlignment w:val="center"/>
              <w:rPr>
                <w:rFonts w:asciiTheme="minorEastAsia" w:hAnsiTheme="minorEastAsia" w:cstheme="minorEastAsia"/>
                <w:color w:val="000000"/>
                <w:kern w:val="0"/>
                <w:sz w:val="16"/>
                <w:szCs w:val="16"/>
              </w:rPr>
            </w:pPr>
            <w:r>
              <w:rPr>
                <w:rFonts w:ascii="宋体" w:hAnsi="宋体" w:cs="宋体"/>
                <w:color w:val="000000"/>
                <w:kern w:val="0"/>
                <w:sz w:val="16"/>
                <w:szCs w:val="16"/>
                <w:lang w:bidi="ar"/>
              </w:rPr>
              <w:t>202,993.61</w:t>
            </w:r>
            <w:r>
              <w:rPr>
                <w:rFonts w:hint="eastAsia" w:ascii="宋体" w:hAnsi="宋体" w:cs="宋体"/>
                <w:color w:val="000000"/>
                <w:kern w:val="0"/>
                <w:sz w:val="16"/>
                <w:szCs w:val="16"/>
                <w:lang w:bidi="ar"/>
              </w:rPr>
              <w:t xml:space="preserve"> </w:t>
            </w:r>
          </w:p>
        </w:tc>
        <w:tc>
          <w:tcPr>
            <w:tcW w:w="1346"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135D26CD">
            <w:pPr>
              <w:widowControl/>
              <w:jc w:val="right"/>
              <w:textAlignment w:val="center"/>
              <w:rPr>
                <w:rFonts w:asciiTheme="minorEastAsia" w:hAnsiTheme="minorEastAsia" w:cstheme="minorEastAsia"/>
                <w:color w:val="000000"/>
                <w:kern w:val="0"/>
                <w:sz w:val="16"/>
                <w:szCs w:val="16"/>
              </w:rPr>
            </w:pPr>
            <w:r>
              <w:rPr>
                <w:rFonts w:hint="eastAsia" w:ascii="宋体" w:hAnsi="宋体" w:cs="宋体"/>
                <w:color w:val="000000"/>
                <w:kern w:val="0"/>
                <w:sz w:val="16"/>
                <w:szCs w:val="16"/>
                <w:lang w:bidi="ar"/>
              </w:rPr>
              <w:t xml:space="preserve">182,092.03 </w:t>
            </w:r>
          </w:p>
        </w:tc>
      </w:tr>
      <w:tr w14:paraId="2B986AD8">
        <w:tblPrEx>
          <w:tblCellMar>
            <w:top w:w="0" w:type="dxa"/>
            <w:left w:w="0" w:type="dxa"/>
            <w:bottom w:w="0" w:type="dxa"/>
            <w:right w:w="0" w:type="dxa"/>
          </w:tblCellMar>
        </w:tblPrEx>
        <w:trPr>
          <w:trHeight w:val="397" w:hRule="atLeast"/>
        </w:trPr>
        <w:tc>
          <w:tcPr>
            <w:tcW w:w="1493" w:type="pct"/>
            <w:vMerge w:val="continue"/>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431A8222">
            <w:pPr>
              <w:widowControl/>
              <w:adjustRightInd w:val="0"/>
              <w:snapToGrid w:val="0"/>
              <w:jc w:val="left"/>
              <w:rPr>
                <w:rFonts w:asciiTheme="minorEastAsia" w:hAnsiTheme="minorEastAsia" w:cstheme="minorEastAsia"/>
                <w:color w:val="000000"/>
                <w:kern w:val="0"/>
                <w:sz w:val="16"/>
                <w:szCs w:val="16"/>
              </w:rPr>
            </w:pPr>
          </w:p>
        </w:tc>
        <w:tc>
          <w:tcPr>
            <w:tcW w:w="898"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6AFF3016">
            <w:pPr>
              <w:widowControl/>
              <w:adjustRightInd w:val="0"/>
              <w:snapToGrid w:val="0"/>
              <w:jc w:val="left"/>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负债总额</w:t>
            </w:r>
          </w:p>
        </w:tc>
        <w:tc>
          <w:tcPr>
            <w:tcW w:w="1263"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5AE49EBF">
            <w:pPr>
              <w:widowControl/>
              <w:jc w:val="right"/>
              <w:textAlignment w:val="center"/>
              <w:rPr>
                <w:rFonts w:asciiTheme="minorEastAsia" w:hAnsiTheme="minorEastAsia" w:cstheme="minorEastAsia"/>
                <w:color w:val="000000"/>
                <w:kern w:val="0"/>
                <w:sz w:val="16"/>
                <w:szCs w:val="16"/>
              </w:rPr>
            </w:pPr>
            <w:r>
              <w:rPr>
                <w:rFonts w:ascii="宋体" w:hAnsi="宋体" w:cs="宋体"/>
                <w:color w:val="000000"/>
                <w:kern w:val="0"/>
                <w:sz w:val="16"/>
                <w:szCs w:val="16"/>
                <w:lang w:bidi="ar"/>
              </w:rPr>
              <w:t>130,495.05</w:t>
            </w:r>
          </w:p>
        </w:tc>
        <w:tc>
          <w:tcPr>
            <w:tcW w:w="1346"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0FAAEED0">
            <w:pPr>
              <w:widowControl/>
              <w:jc w:val="right"/>
              <w:textAlignment w:val="center"/>
              <w:rPr>
                <w:rFonts w:asciiTheme="minorEastAsia" w:hAnsiTheme="minorEastAsia" w:cstheme="minorEastAsia"/>
                <w:color w:val="000000"/>
                <w:kern w:val="0"/>
                <w:sz w:val="16"/>
                <w:szCs w:val="16"/>
              </w:rPr>
            </w:pPr>
            <w:r>
              <w:rPr>
                <w:rFonts w:hint="eastAsia" w:ascii="宋体" w:hAnsi="宋体" w:cs="宋体"/>
                <w:color w:val="000000"/>
                <w:kern w:val="0"/>
                <w:sz w:val="16"/>
                <w:szCs w:val="16"/>
                <w:lang w:bidi="ar"/>
              </w:rPr>
              <w:t xml:space="preserve">112,397.30 </w:t>
            </w:r>
          </w:p>
        </w:tc>
      </w:tr>
      <w:tr w14:paraId="3AE0150A">
        <w:tblPrEx>
          <w:tblCellMar>
            <w:top w:w="0" w:type="dxa"/>
            <w:left w:w="0" w:type="dxa"/>
            <w:bottom w:w="0" w:type="dxa"/>
            <w:right w:w="0" w:type="dxa"/>
          </w:tblCellMar>
        </w:tblPrEx>
        <w:trPr>
          <w:trHeight w:val="397" w:hRule="atLeast"/>
        </w:trPr>
        <w:tc>
          <w:tcPr>
            <w:tcW w:w="1493" w:type="pct"/>
            <w:vMerge w:val="continue"/>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1147ACAD">
            <w:pPr>
              <w:widowControl/>
              <w:adjustRightInd w:val="0"/>
              <w:snapToGrid w:val="0"/>
              <w:jc w:val="left"/>
              <w:rPr>
                <w:rFonts w:asciiTheme="minorEastAsia" w:hAnsiTheme="minorEastAsia" w:cstheme="minorEastAsia"/>
                <w:color w:val="000000"/>
                <w:kern w:val="0"/>
                <w:sz w:val="16"/>
                <w:szCs w:val="16"/>
              </w:rPr>
            </w:pPr>
          </w:p>
        </w:tc>
        <w:tc>
          <w:tcPr>
            <w:tcW w:w="898"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05B811EA">
            <w:pPr>
              <w:widowControl/>
              <w:adjustRightInd w:val="0"/>
              <w:snapToGrid w:val="0"/>
              <w:jc w:val="left"/>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资产净额</w:t>
            </w:r>
          </w:p>
        </w:tc>
        <w:tc>
          <w:tcPr>
            <w:tcW w:w="1263"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0193DFCE">
            <w:pPr>
              <w:widowControl/>
              <w:jc w:val="right"/>
              <w:textAlignment w:val="center"/>
              <w:rPr>
                <w:rFonts w:asciiTheme="minorEastAsia" w:hAnsiTheme="minorEastAsia" w:cstheme="minorEastAsia"/>
                <w:color w:val="000000"/>
                <w:kern w:val="0"/>
                <w:sz w:val="16"/>
                <w:szCs w:val="16"/>
              </w:rPr>
            </w:pPr>
            <w:r>
              <w:rPr>
                <w:rFonts w:ascii="宋体" w:hAnsi="宋体" w:cs="宋体"/>
                <w:color w:val="000000"/>
                <w:kern w:val="0"/>
                <w:sz w:val="16"/>
                <w:szCs w:val="16"/>
                <w:lang w:bidi="ar"/>
              </w:rPr>
              <w:t>72,498.56</w:t>
            </w:r>
            <w:r>
              <w:rPr>
                <w:rFonts w:hint="eastAsia" w:ascii="宋体" w:hAnsi="宋体" w:cs="宋体"/>
                <w:color w:val="000000"/>
                <w:kern w:val="0"/>
                <w:sz w:val="16"/>
                <w:szCs w:val="16"/>
                <w:lang w:bidi="ar"/>
              </w:rPr>
              <w:t xml:space="preserve"> </w:t>
            </w:r>
          </w:p>
        </w:tc>
        <w:tc>
          <w:tcPr>
            <w:tcW w:w="1346"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20FD923E">
            <w:pPr>
              <w:widowControl/>
              <w:jc w:val="right"/>
              <w:textAlignment w:val="center"/>
              <w:rPr>
                <w:rFonts w:asciiTheme="minorEastAsia" w:hAnsiTheme="minorEastAsia" w:cstheme="minorEastAsia"/>
                <w:color w:val="000000"/>
                <w:kern w:val="0"/>
                <w:sz w:val="16"/>
                <w:szCs w:val="16"/>
              </w:rPr>
            </w:pPr>
            <w:r>
              <w:rPr>
                <w:rFonts w:hint="eastAsia" w:ascii="宋体" w:hAnsi="宋体" w:cs="宋体"/>
                <w:color w:val="000000"/>
                <w:kern w:val="0"/>
                <w:sz w:val="16"/>
                <w:szCs w:val="16"/>
                <w:lang w:bidi="ar"/>
              </w:rPr>
              <w:t xml:space="preserve">69,694.73 </w:t>
            </w:r>
          </w:p>
        </w:tc>
      </w:tr>
      <w:tr w14:paraId="4EAA2E3D">
        <w:tblPrEx>
          <w:tblCellMar>
            <w:top w:w="0" w:type="dxa"/>
            <w:left w:w="0" w:type="dxa"/>
            <w:bottom w:w="0" w:type="dxa"/>
            <w:right w:w="0" w:type="dxa"/>
          </w:tblCellMar>
        </w:tblPrEx>
        <w:trPr>
          <w:trHeight w:val="397" w:hRule="atLeast"/>
        </w:trPr>
        <w:tc>
          <w:tcPr>
            <w:tcW w:w="1493" w:type="pct"/>
            <w:vMerge w:val="continue"/>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4193EEAC">
            <w:pPr>
              <w:widowControl/>
              <w:adjustRightInd w:val="0"/>
              <w:snapToGrid w:val="0"/>
              <w:jc w:val="left"/>
              <w:rPr>
                <w:rFonts w:asciiTheme="minorEastAsia" w:hAnsiTheme="minorEastAsia" w:cstheme="minorEastAsia"/>
                <w:color w:val="000000"/>
                <w:kern w:val="0"/>
                <w:sz w:val="16"/>
                <w:szCs w:val="16"/>
              </w:rPr>
            </w:pPr>
          </w:p>
        </w:tc>
        <w:tc>
          <w:tcPr>
            <w:tcW w:w="898"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6F752802">
            <w:pPr>
              <w:widowControl/>
              <w:adjustRightInd w:val="0"/>
              <w:snapToGrid w:val="0"/>
              <w:jc w:val="left"/>
              <w:rPr>
                <w:rFonts w:asciiTheme="minorEastAsia" w:hAnsiTheme="minorEastAsia" w:cstheme="minorEastAsia"/>
                <w:color w:val="000000"/>
                <w:kern w:val="0"/>
                <w:sz w:val="16"/>
                <w:szCs w:val="16"/>
              </w:rPr>
            </w:pPr>
          </w:p>
        </w:tc>
        <w:tc>
          <w:tcPr>
            <w:tcW w:w="1263"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285E37CC">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2025年1-</w:t>
            </w:r>
            <w:r>
              <w:rPr>
                <w:rFonts w:ascii="宋体" w:hAnsi="宋体" w:cs="宋体"/>
                <w:color w:val="000000"/>
                <w:kern w:val="0"/>
                <w:sz w:val="16"/>
                <w:szCs w:val="16"/>
                <w:lang w:bidi="ar"/>
              </w:rPr>
              <w:t>6</w:t>
            </w:r>
            <w:r>
              <w:rPr>
                <w:rFonts w:hint="eastAsia" w:ascii="宋体" w:hAnsi="宋体" w:cs="宋体"/>
                <w:color w:val="000000"/>
                <w:kern w:val="0"/>
                <w:sz w:val="16"/>
                <w:szCs w:val="16"/>
                <w:lang w:bidi="ar"/>
              </w:rPr>
              <w:t>月</w:t>
            </w:r>
          </w:p>
          <w:p w14:paraId="4974CB3C">
            <w:pPr>
              <w:widowControl/>
              <w:jc w:val="center"/>
              <w:textAlignment w:val="center"/>
              <w:rPr>
                <w:rFonts w:asciiTheme="minorEastAsia" w:hAnsiTheme="minorEastAsia" w:cstheme="minorEastAsia"/>
                <w:color w:val="000000"/>
                <w:kern w:val="0"/>
                <w:sz w:val="16"/>
                <w:szCs w:val="16"/>
              </w:rPr>
            </w:pPr>
            <w:r>
              <w:rPr>
                <w:rFonts w:hint="eastAsia" w:ascii="宋体" w:hAnsi="宋体" w:cs="宋体"/>
                <w:color w:val="000000"/>
                <w:kern w:val="0"/>
                <w:sz w:val="16"/>
                <w:szCs w:val="16"/>
                <w:lang w:bidi="ar"/>
              </w:rPr>
              <w:t>（未经审计）</w:t>
            </w:r>
          </w:p>
        </w:tc>
        <w:tc>
          <w:tcPr>
            <w:tcW w:w="1346"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2E2EB887">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2024年1-12月</w:t>
            </w:r>
          </w:p>
          <w:p w14:paraId="1D69D226">
            <w:pPr>
              <w:widowControl/>
              <w:jc w:val="center"/>
              <w:textAlignment w:val="center"/>
              <w:rPr>
                <w:rFonts w:asciiTheme="minorEastAsia" w:hAnsiTheme="minorEastAsia" w:cstheme="minorEastAsia"/>
                <w:color w:val="000000"/>
                <w:kern w:val="0"/>
                <w:sz w:val="16"/>
                <w:szCs w:val="16"/>
              </w:rPr>
            </w:pPr>
            <w:r>
              <w:rPr>
                <w:rFonts w:hint="eastAsia" w:ascii="宋体" w:hAnsi="宋体" w:cs="宋体"/>
                <w:color w:val="000000"/>
                <w:kern w:val="0"/>
                <w:sz w:val="16"/>
                <w:szCs w:val="16"/>
                <w:lang w:bidi="ar"/>
              </w:rPr>
              <w:t>（经审计）</w:t>
            </w:r>
          </w:p>
        </w:tc>
      </w:tr>
      <w:tr w14:paraId="41EFD1C4">
        <w:tblPrEx>
          <w:tblCellMar>
            <w:top w:w="0" w:type="dxa"/>
            <w:left w:w="0" w:type="dxa"/>
            <w:bottom w:w="0" w:type="dxa"/>
            <w:right w:w="0" w:type="dxa"/>
          </w:tblCellMar>
        </w:tblPrEx>
        <w:trPr>
          <w:trHeight w:val="397" w:hRule="atLeast"/>
        </w:trPr>
        <w:tc>
          <w:tcPr>
            <w:tcW w:w="1493" w:type="pct"/>
            <w:vMerge w:val="continue"/>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5C082435">
            <w:pPr>
              <w:widowControl/>
              <w:adjustRightInd w:val="0"/>
              <w:snapToGrid w:val="0"/>
              <w:jc w:val="left"/>
              <w:rPr>
                <w:rFonts w:asciiTheme="minorEastAsia" w:hAnsiTheme="minorEastAsia" w:cstheme="minorEastAsia"/>
                <w:color w:val="000000"/>
                <w:kern w:val="0"/>
                <w:sz w:val="16"/>
                <w:szCs w:val="16"/>
              </w:rPr>
            </w:pPr>
          </w:p>
        </w:tc>
        <w:tc>
          <w:tcPr>
            <w:tcW w:w="898"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633809F5">
            <w:pPr>
              <w:widowControl/>
              <w:adjustRightInd w:val="0"/>
              <w:snapToGrid w:val="0"/>
              <w:jc w:val="left"/>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营业收入</w:t>
            </w:r>
          </w:p>
        </w:tc>
        <w:tc>
          <w:tcPr>
            <w:tcW w:w="1263"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77E2F529">
            <w:pPr>
              <w:widowControl/>
              <w:jc w:val="right"/>
              <w:textAlignment w:val="center"/>
              <w:rPr>
                <w:rFonts w:asciiTheme="minorEastAsia" w:hAnsiTheme="minorEastAsia" w:cstheme="minorEastAsia"/>
                <w:color w:val="000000"/>
                <w:kern w:val="0"/>
                <w:sz w:val="16"/>
                <w:szCs w:val="16"/>
              </w:rPr>
            </w:pPr>
            <w:r>
              <w:rPr>
                <w:rFonts w:ascii="宋体" w:hAnsi="宋体" w:cs="宋体"/>
                <w:color w:val="000000"/>
                <w:kern w:val="0"/>
                <w:sz w:val="16"/>
                <w:szCs w:val="16"/>
                <w:lang w:bidi="ar"/>
              </w:rPr>
              <w:t>59</w:t>
            </w:r>
            <w:r>
              <w:rPr>
                <w:rFonts w:hint="eastAsia" w:ascii="宋体" w:hAnsi="宋体" w:cs="宋体"/>
                <w:color w:val="000000"/>
                <w:kern w:val="0"/>
                <w:sz w:val="16"/>
                <w:szCs w:val="16"/>
                <w:lang w:bidi="ar"/>
              </w:rPr>
              <w:t>,</w:t>
            </w:r>
            <w:r>
              <w:rPr>
                <w:rFonts w:ascii="宋体" w:hAnsi="宋体" w:cs="宋体"/>
                <w:color w:val="000000"/>
                <w:kern w:val="0"/>
                <w:sz w:val="16"/>
                <w:szCs w:val="16"/>
                <w:lang w:bidi="ar"/>
              </w:rPr>
              <w:t>531.70</w:t>
            </w:r>
            <w:r>
              <w:rPr>
                <w:rFonts w:hint="eastAsia" w:ascii="宋体" w:hAnsi="宋体" w:cs="宋体"/>
                <w:color w:val="000000"/>
                <w:kern w:val="0"/>
                <w:sz w:val="16"/>
                <w:szCs w:val="16"/>
                <w:lang w:bidi="ar"/>
              </w:rPr>
              <w:t xml:space="preserve"> </w:t>
            </w:r>
          </w:p>
        </w:tc>
        <w:tc>
          <w:tcPr>
            <w:tcW w:w="1346"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58E41B15">
            <w:pPr>
              <w:widowControl/>
              <w:jc w:val="right"/>
              <w:textAlignment w:val="center"/>
              <w:rPr>
                <w:rFonts w:asciiTheme="minorEastAsia" w:hAnsiTheme="minorEastAsia" w:cstheme="minorEastAsia"/>
                <w:color w:val="000000"/>
                <w:kern w:val="0"/>
                <w:sz w:val="16"/>
                <w:szCs w:val="16"/>
              </w:rPr>
            </w:pPr>
            <w:r>
              <w:rPr>
                <w:rFonts w:hint="eastAsia" w:ascii="宋体" w:hAnsi="宋体" w:cs="宋体"/>
                <w:color w:val="000000"/>
                <w:kern w:val="0"/>
                <w:sz w:val="16"/>
                <w:szCs w:val="16"/>
                <w:lang w:bidi="ar"/>
              </w:rPr>
              <w:t xml:space="preserve">82,015.42 </w:t>
            </w:r>
          </w:p>
        </w:tc>
      </w:tr>
      <w:tr w14:paraId="4321B9FB">
        <w:tblPrEx>
          <w:tblCellMar>
            <w:top w:w="0" w:type="dxa"/>
            <w:left w:w="0" w:type="dxa"/>
            <w:bottom w:w="0" w:type="dxa"/>
            <w:right w:w="0" w:type="dxa"/>
          </w:tblCellMar>
        </w:tblPrEx>
        <w:trPr>
          <w:trHeight w:val="397" w:hRule="atLeast"/>
        </w:trPr>
        <w:tc>
          <w:tcPr>
            <w:tcW w:w="1493" w:type="pct"/>
            <w:vMerge w:val="continue"/>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284F1D94">
            <w:pPr>
              <w:widowControl/>
              <w:adjustRightInd w:val="0"/>
              <w:snapToGrid w:val="0"/>
              <w:jc w:val="left"/>
              <w:rPr>
                <w:rFonts w:asciiTheme="minorEastAsia" w:hAnsiTheme="minorEastAsia" w:cstheme="minorEastAsia"/>
                <w:color w:val="000000"/>
                <w:kern w:val="0"/>
                <w:sz w:val="16"/>
                <w:szCs w:val="16"/>
              </w:rPr>
            </w:pPr>
          </w:p>
        </w:tc>
        <w:tc>
          <w:tcPr>
            <w:tcW w:w="898"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7E2E7447">
            <w:pPr>
              <w:widowControl/>
              <w:adjustRightInd w:val="0"/>
              <w:snapToGrid w:val="0"/>
              <w:jc w:val="left"/>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净利润</w:t>
            </w:r>
          </w:p>
        </w:tc>
        <w:tc>
          <w:tcPr>
            <w:tcW w:w="1263"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572FCCDD">
            <w:pPr>
              <w:widowControl/>
              <w:jc w:val="right"/>
              <w:textAlignment w:val="center"/>
              <w:rPr>
                <w:rFonts w:asciiTheme="minorEastAsia" w:hAnsiTheme="minorEastAsia" w:cstheme="minorEastAsia"/>
                <w:color w:val="000000"/>
                <w:kern w:val="0"/>
                <w:sz w:val="16"/>
                <w:szCs w:val="16"/>
              </w:rPr>
            </w:pPr>
            <w:r>
              <w:rPr>
                <w:rFonts w:ascii="宋体" w:hAnsi="宋体" w:cs="宋体"/>
                <w:color w:val="000000"/>
                <w:kern w:val="0"/>
                <w:sz w:val="16"/>
                <w:szCs w:val="16"/>
                <w:lang w:bidi="ar"/>
              </w:rPr>
              <w:t>2,723.31</w:t>
            </w:r>
            <w:r>
              <w:rPr>
                <w:rFonts w:hint="eastAsia" w:ascii="宋体" w:hAnsi="宋体" w:cs="宋体"/>
                <w:color w:val="000000"/>
                <w:kern w:val="0"/>
                <w:sz w:val="16"/>
                <w:szCs w:val="16"/>
                <w:lang w:bidi="ar"/>
              </w:rPr>
              <w:t xml:space="preserve"> </w:t>
            </w:r>
          </w:p>
        </w:tc>
        <w:tc>
          <w:tcPr>
            <w:tcW w:w="1346"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5FD32AE7">
            <w:pPr>
              <w:widowControl/>
              <w:jc w:val="right"/>
              <w:textAlignment w:val="center"/>
              <w:rPr>
                <w:rFonts w:asciiTheme="minorEastAsia" w:hAnsiTheme="minorEastAsia" w:cstheme="minorEastAsia"/>
                <w:color w:val="000000"/>
                <w:kern w:val="0"/>
                <w:sz w:val="16"/>
                <w:szCs w:val="16"/>
              </w:rPr>
            </w:pPr>
            <w:r>
              <w:rPr>
                <w:rFonts w:hint="eastAsia" w:ascii="宋体" w:hAnsi="宋体" w:cs="宋体"/>
                <w:color w:val="000000"/>
                <w:kern w:val="0"/>
                <w:sz w:val="16"/>
                <w:szCs w:val="16"/>
                <w:lang w:bidi="ar"/>
              </w:rPr>
              <w:t xml:space="preserve">5,090.37 </w:t>
            </w:r>
          </w:p>
        </w:tc>
      </w:tr>
    </w:tbl>
    <w:p w14:paraId="277AB595">
      <w:pPr>
        <w:pStyle w:val="17"/>
        <w:widowControl/>
        <w:adjustRightInd w:val="0"/>
        <w:snapToGrid w:val="0"/>
        <w:spacing w:line="560" w:lineRule="exact"/>
        <w:ind w:left="480" w:firstLine="0" w:firstLineChars="0"/>
        <w:jc w:val="left"/>
        <w:outlineLvl w:val="1"/>
        <w:rPr>
          <w:rFonts w:asciiTheme="minorEastAsia" w:hAnsiTheme="minorEastAsia" w:cstheme="minorEastAsia"/>
          <w:sz w:val="24"/>
          <w:szCs w:val="24"/>
        </w:rPr>
      </w:pPr>
      <w:r>
        <w:rPr>
          <w:rFonts w:asciiTheme="minorEastAsia" w:hAnsiTheme="minorEastAsia" w:cstheme="minorEastAsia"/>
          <w:sz w:val="24"/>
          <w:szCs w:val="24"/>
        </w:rPr>
        <w:t>2</w:t>
      </w:r>
      <w:r>
        <w:rPr>
          <w:rFonts w:hint="eastAsia" w:asciiTheme="minorEastAsia" w:hAnsiTheme="minorEastAsia" w:cstheme="minorEastAsia"/>
          <w:sz w:val="24"/>
          <w:szCs w:val="24"/>
        </w:rPr>
        <w:t>、</w:t>
      </w:r>
      <w:r>
        <w:rPr>
          <w:rFonts w:hint="eastAsia" w:ascii="宋体" w:hAnsi="宋体" w:eastAsia="宋体" w:cstheme="minorEastAsia"/>
          <w:sz w:val="24"/>
          <w:szCs w:val="24"/>
        </w:rPr>
        <w:t>重庆惠泽电器有限公司</w:t>
      </w:r>
    </w:p>
    <w:tbl>
      <w:tblPr>
        <w:tblStyle w:val="11"/>
        <w:tblW w:w="5000" w:type="pct"/>
        <w:tblInd w:w="0" w:type="dxa"/>
        <w:tblLayout w:type="autofit"/>
        <w:tblCellMar>
          <w:top w:w="0" w:type="dxa"/>
          <w:left w:w="0" w:type="dxa"/>
          <w:bottom w:w="0" w:type="dxa"/>
          <w:right w:w="0" w:type="dxa"/>
        </w:tblCellMar>
      </w:tblPr>
      <w:tblGrid>
        <w:gridCol w:w="2512"/>
        <w:gridCol w:w="1512"/>
        <w:gridCol w:w="2127"/>
        <w:gridCol w:w="2267"/>
      </w:tblGrid>
      <w:tr w14:paraId="4151AB21">
        <w:tblPrEx>
          <w:tblCellMar>
            <w:top w:w="0" w:type="dxa"/>
            <w:left w:w="0" w:type="dxa"/>
            <w:bottom w:w="0" w:type="dxa"/>
            <w:right w:w="0" w:type="dxa"/>
          </w:tblCellMar>
        </w:tblPrEx>
        <w:trPr>
          <w:trHeight w:val="397" w:hRule="atLeast"/>
        </w:trPr>
        <w:tc>
          <w:tcPr>
            <w:tcW w:w="1492"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1D483836">
            <w:pPr>
              <w:widowControl/>
              <w:adjustRightInd w:val="0"/>
              <w:snapToGrid w:val="0"/>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被担保人类型</w:t>
            </w:r>
          </w:p>
        </w:tc>
        <w:tc>
          <w:tcPr>
            <w:tcW w:w="3507" w:type="pct"/>
            <w:gridSpan w:val="3"/>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76A12B08">
            <w:pPr>
              <w:adjustRightInd w:val="0"/>
              <w:snapToGrid w:val="0"/>
              <w:rPr>
                <w:rFonts w:asciiTheme="minorEastAsia" w:hAnsiTheme="minorEastAsia" w:cstheme="minorEastAsia"/>
                <w:color w:val="000000"/>
                <w:sz w:val="16"/>
                <w:szCs w:val="16"/>
              </w:rPr>
            </w:pPr>
            <w:r>
              <w:rPr>
                <w:rFonts w:ascii="Segoe UI Symbol" w:hAnsi="Segoe UI Symbol" w:cs="Segoe UI Symbol"/>
                <w:color w:val="000000"/>
                <w:sz w:val="16"/>
                <w:szCs w:val="16"/>
              </w:rPr>
              <w:t>☑</w:t>
            </w:r>
            <w:r>
              <w:rPr>
                <w:rFonts w:hint="eastAsia" w:ascii="宋体" w:hAnsi="宋体" w:eastAsia="宋体" w:cs="宋体"/>
                <w:color w:val="000000"/>
                <w:sz w:val="16"/>
                <w:szCs w:val="16"/>
              </w:rPr>
              <w:t>法人</w:t>
            </w:r>
          </w:p>
          <w:p w14:paraId="1FFCD3AF">
            <w:pPr>
              <w:widowControl/>
              <w:adjustRightInd w:val="0"/>
              <w:snapToGrid w:val="0"/>
              <w:rPr>
                <w:rFonts w:asciiTheme="minorEastAsia" w:hAnsiTheme="minorEastAsia" w:cstheme="minorEastAsia"/>
                <w:color w:val="000000"/>
                <w:kern w:val="0"/>
                <w:sz w:val="16"/>
                <w:szCs w:val="16"/>
              </w:rPr>
            </w:pPr>
            <w:r>
              <w:rPr>
                <w:rFonts w:hint="eastAsia" w:asciiTheme="minorEastAsia" w:hAnsiTheme="minorEastAsia" w:cstheme="minorEastAsia"/>
                <w:color w:val="000000"/>
                <w:sz w:val="16"/>
                <w:szCs w:val="16"/>
              </w:rPr>
              <w:t>□其他</w:t>
            </w:r>
            <w:r>
              <w:rPr>
                <w:rFonts w:hint="eastAsia" w:asciiTheme="minorEastAsia" w:hAnsiTheme="minorEastAsia" w:cstheme="minorEastAsia"/>
                <w:sz w:val="16"/>
                <w:szCs w:val="16"/>
              </w:rPr>
              <w:t>______________</w:t>
            </w:r>
            <w:r>
              <w:rPr>
                <w:rFonts w:hint="eastAsia" w:asciiTheme="minorEastAsia" w:hAnsiTheme="minorEastAsia" w:cstheme="minorEastAsia"/>
                <w:color w:val="000000"/>
                <w:sz w:val="16"/>
                <w:szCs w:val="16"/>
              </w:rPr>
              <w:t>（请注明）</w:t>
            </w:r>
          </w:p>
        </w:tc>
      </w:tr>
      <w:tr w14:paraId="72F6C661">
        <w:tblPrEx>
          <w:tblCellMar>
            <w:top w:w="0" w:type="dxa"/>
            <w:left w:w="0" w:type="dxa"/>
            <w:bottom w:w="0" w:type="dxa"/>
            <w:right w:w="0" w:type="dxa"/>
          </w:tblCellMar>
        </w:tblPrEx>
        <w:trPr>
          <w:trHeight w:val="397" w:hRule="atLeast"/>
        </w:trPr>
        <w:tc>
          <w:tcPr>
            <w:tcW w:w="1492"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751EE08F">
            <w:pPr>
              <w:widowControl/>
              <w:adjustRightInd w:val="0"/>
              <w:snapToGrid w:val="0"/>
              <w:rPr>
                <w:rFonts w:asciiTheme="minorEastAsia" w:hAnsiTheme="minorEastAsia" w:cstheme="minorEastAsia"/>
                <w:color w:val="000000"/>
                <w:kern w:val="0"/>
                <w:sz w:val="16"/>
                <w:szCs w:val="16"/>
              </w:rPr>
            </w:pPr>
            <w:r>
              <w:rPr>
                <w:rFonts w:hint="eastAsia" w:asciiTheme="minorEastAsia" w:hAnsiTheme="minorEastAsia" w:cstheme="minorEastAsia"/>
                <w:color w:val="000000"/>
                <w:sz w:val="16"/>
                <w:szCs w:val="16"/>
              </w:rPr>
              <w:t>被担保人名称</w:t>
            </w:r>
          </w:p>
        </w:tc>
        <w:tc>
          <w:tcPr>
            <w:tcW w:w="3507" w:type="pct"/>
            <w:gridSpan w:val="3"/>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3C99CA68">
            <w:pPr>
              <w:widowControl/>
              <w:adjustRightInd w:val="0"/>
              <w:snapToGrid w:val="0"/>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重庆惠泽电器有限公司</w:t>
            </w:r>
          </w:p>
        </w:tc>
      </w:tr>
      <w:tr w14:paraId="2280849D">
        <w:tblPrEx>
          <w:tblCellMar>
            <w:top w:w="0" w:type="dxa"/>
            <w:left w:w="0" w:type="dxa"/>
            <w:bottom w:w="0" w:type="dxa"/>
            <w:right w:w="0" w:type="dxa"/>
          </w:tblCellMar>
        </w:tblPrEx>
        <w:trPr>
          <w:trHeight w:val="397" w:hRule="atLeast"/>
        </w:trPr>
        <w:tc>
          <w:tcPr>
            <w:tcW w:w="1492"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002565D6">
            <w:pPr>
              <w:widowControl/>
              <w:adjustRightInd w:val="0"/>
              <w:snapToGrid w:val="0"/>
              <w:rPr>
                <w:rFonts w:asciiTheme="minorEastAsia" w:hAnsiTheme="minorEastAsia" w:cstheme="minorEastAsia"/>
                <w:color w:val="000000"/>
                <w:sz w:val="16"/>
                <w:szCs w:val="16"/>
              </w:rPr>
            </w:pPr>
            <w:r>
              <w:rPr>
                <w:rFonts w:hint="eastAsia" w:asciiTheme="minorEastAsia" w:hAnsiTheme="minorEastAsia" w:cstheme="minorEastAsia"/>
                <w:color w:val="000000"/>
                <w:sz w:val="16"/>
                <w:szCs w:val="16"/>
              </w:rPr>
              <w:t>被担保人类型及上市公司持股情况</w:t>
            </w:r>
          </w:p>
        </w:tc>
        <w:tc>
          <w:tcPr>
            <w:tcW w:w="3507" w:type="pct"/>
            <w:gridSpan w:val="3"/>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35C07A1D">
            <w:pPr>
              <w:widowControl/>
              <w:adjustRightInd w:val="0"/>
              <w:snapToGrid w:val="0"/>
              <w:rPr>
                <w:rFonts w:asciiTheme="minorEastAsia" w:hAnsiTheme="minorEastAsia" w:cstheme="minorEastAsia"/>
                <w:color w:val="000000"/>
                <w:sz w:val="16"/>
                <w:szCs w:val="16"/>
              </w:rPr>
            </w:pPr>
            <w:r>
              <w:rPr>
                <w:rFonts w:ascii="Segoe UI Symbol" w:hAnsi="Segoe UI Symbol" w:cs="Segoe UI Symbol"/>
                <w:color w:val="000000"/>
                <w:sz w:val="16"/>
                <w:szCs w:val="16"/>
              </w:rPr>
              <w:t>☑</w:t>
            </w:r>
            <w:r>
              <w:rPr>
                <w:rFonts w:hint="eastAsia" w:ascii="宋体" w:hAnsi="宋体" w:eastAsia="宋体" w:cs="宋体"/>
                <w:color w:val="000000"/>
                <w:sz w:val="16"/>
                <w:szCs w:val="16"/>
              </w:rPr>
              <w:t>全资子公司</w:t>
            </w:r>
          </w:p>
          <w:p w14:paraId="34198D4B">
            <w:pPr>
              <w:widowControl/>
              <w:adjustRightInd w:val="0"/>
              <w:snapToGrid w:val="0"/>
              <w:rPr>
                <w:rFonts w:asciiTheme="minorEastAsia" w:hAnsiTheme="minorEastAsia" w:cstheme="minorEastAsia"/>
                <w:color w:val="000000"/>
                <w:sz w:val="16"/>
                <w:szCs w:val="16"/>
              </w:rPr>
            </w:pPr>
            <w:r>
              <w:rPr>
                <w:rFonts w:hint="eastAsia" w:asciiTheme="minorEastAsia" w:hAnsiTheme="minorEastAsia" w:cstheme="minorEastAsia"/>
                <w:color w:val="000000"/>
                <w:sz w:val="16"/>
                <w:szCs w:val="16"/>
              </w:rPr>
              <w:t>□控股子公司</w:t>
            </w:r>
          </w:p>
          <w:p w14:paraId="534E478B">
            <w:pPr>
              <w:widowControl/>
              <w:adjustRightInd w:val="0"/>
              <w:snapToGrid w:val="0"/>
              <w:rPr>
                <w:rFonts w:asciiTheme="minorEastAsia" w:hAnsiTheme="minorEastAsia" w:cstheme="minorEastAsia"/>
                <w:color w:val="000000"/>
                <w:sz w:val="16"/>
                <w:szCs w:val="16"/>
              </w:rPr>
            </w:pPr>
            <w:r>
              <w:rPr>
                <w:rFonts w:hint="eastAsia" w:asciiTheme="minorEastAsia" w:hAnsiTheme="minorEastAsia" w:cstheme="minorEastAsia"/>
                <w:color w:val="000000"/>
                <w:sz w:val="16"/>
                <w:szCs w:val="16"/>
              </w:rPr>
              <w:t>□参股公司</w:t>
            </w:r>
          </w:p>
          <w:p w14:paraId="7D1B7C67">
            <w:pPr>
              <w:widowControl/>
              <w:adjustRightInd w:val="0"/>
              <w:snapToGrid w:val="0"/>
              <w:rPr>
                <w:rFonts w:asciiTheme="minorEastAsia" w:hAnsiTheme="minorEastAsia" w:cstheme="minorEastAsia"/>
                <w:color w:val="000000"/>
                <w:sz w:val="16"/>
                <w:szCs w:val="16"/>
              </w:rPr>
            </w:pPr>
            <w:r>
              <w:rPr>
                <w:rFonts w:hint="eastAsia" w:asciiTheme="minorEastAsia" w:hAnsiTheme="minorEastAsia" w:cstheme="minorEastAsia"/>
                <w:color w:val="000000"/>
                <w:sz w:val="16"/>
                <w:szCs w:val="16"/>
              </w:rPr>
              <w:t>□其他</w:t>
            </w:r>
            <w:r>
              <w:rPr>
                <w:rFonts w:hint="eastAsia" w:asciiTheme="minorEastAsia" w:hAnsiTheme="minorEastAsia" w:cstheme="minorEastAsia"/>
                <w:sz w:val="16"/>
                <w:szCs w:val="16"/>
              </w:rPr>
              <w:t>_______</w:t>
            </w:r>
            <w:r>
              <w:rPr>
                <w:rFonts w:asciiTheme="minorEastAsia" w:hAnsiTheme="minorEastAsia" w:cstheme="minorEastAsia"/>
                <w:sz w:val="16"/>
                <w:szCs w:val="16"/>
              </w:rPr>
              <w:t>_</w:t>
            </w:r>
            <w:r>
              <w:rPr>
                <w:rFonts w:hint="eastAsia" w:asciiTheme="minorEastAsia" w:hAnsiTheme="minorEastAsia" w:cstheme="minorEastAsia"/>
                <w:sz w:val="16"/>
                <w:szCs w:val="16"/>
              </w:rPr>
              <w:t>______</w:t>
            </w:r>
            <w:r>
              <w:rPr>
                <w:rFonts w:hint="eastAsia" w:asciiTheme="minorEastAsia" w:hAnsiTheme="minorEastAsia" w:cstheme="minorEastAsia"/>
                <w:color w:val="000000"/>
                <w:sz w:val="16"/>
                <w:szCs w:val="16"/>
              </w:rPr>
              <w:t>（请注明）</w:t>
            </w:r>
          </w:p>
        </w:tc>
      </w:tr>
      <w:tr w14:paraId="355CDFEE">
        <w:tblPrEx>
          <w:tblCellMar>
            <w:top w:w="0" w:type="dxa"/>
            <w:left w:w="0" w:type="dxa"/>
            <w:bottom w:w="0" w:type="dxa"/>
            <w:right w:w="0" w:type="dxa"/>
          </w:tblCellMar>
        </w:tblPrEx>
        <w:trPr>
          <w:trHeight w:val="397" w:hRule="atLeast"/>
        </w:trPr>
        <w:tc>
          <w:tcPr>
            <w:tcW w:w="1492"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376C44FD">
            <w:pPr>
              <w:widowControl/>
              <w:adjustRightInd w:val="0"/>
              <w:snapToGrid w:val="0"/>
              <w:rPr>
                <w:rFonts w:asciiTheme="minorEastAsia" w:hAnsiTheme="minorEastAsia" w:cstheme="minorEastAsia"/>
                <w:color w:val="000000"/>
                <w:sz w:val="16"/>
                <w:szCs w:val="16"/>
              </w:rPr>
            </w:pPr>
            <w:r>
              <w:rPr>
                <w:rFonts w:hint="eastAsia" w:asciiTheme="minorEastAsia" w:hAnsiTheme="minorEastAsia" w:cstheme="minorEastAsia"/>
                <w:color w:val="000000"/>
                <w:sz w:val="16"/>
                <w:szCs w:val="16"/>
              </w:rPr>
              <w:t>主要股东及持股比例</w:t>
            </w:r>
          </w:p>
        </w:tc>
        <w:tc>
          <w:tcPr>
            <w:tcW w:w="3507" w:type="pct"/>
            <w:gridSpan w:val="3"/>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4F9F8277">
            <w:pPr>
              <w:widowControl/>
              <w:adjustRightInd w:val="0"/>
              <w:snapToGrid w:val="0"/>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望变电气持股100%</w:t>
            </w:r>
          </w:p>
        </w:tc>
      </w:tr>
      <w:tr w14:paraId="568BA037">
        <w:tblPrEx>
          <w:tblCellMar>
            <w:top w:w="0" w:type="dxa"/>
            <w:left w:w="0" w:type="dxa"/>
            <w:bottom w:w="0" w:type="dxa"/>
            <w:right w:w="0" w:type="dxa"/>
          </w:tblCellMar>
        </w:tblPrEx>
        <w:trPr>
          <w:trHeight w:val="397" w:hRule="atLeast"/>
        </w:trPr>
        <w:tc>
          <w:tcPr>
            <w:tcW w:w="1492"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470778FD">
            <w:pPr>
              <w:widowControl/>
              <w:adjustRightInd w:val="0"/>
              <w:snapToGrid w:val="0"/>
              <w:rPr>
                <w:rFonts w:asciiTheme="minorEastAsia" w:hAnsiTheme="minorEastAsia" w:cstheme="minorEastAsia"/>
                <w:color w:val="000000"/>
                <w:kern w:val="0"/>
                <w:sz w:val="16"/>
                <w:szCs w:val="16"/>
              </w:rPr>
            </w:pPr>
            <w:r>
              <w:rPr>
                <w:rFonts w:hint="eastAsia" w:asciiTheme="minorEastAsia" w:hAnsiTheme="minorEastAsia" w:cstheme="minorEastAsia"/>
                <w:color w:val="000000"/>
                <w:sz w:val="16"/>
                <w:szCs w:val="16"/>
              </w:rPr>
              <w:t>法定代表人</w:t>
            </w:r>
          </w:p>
        </w:tc>
        <w:tc>
          <w:tcPr>
            <w:tcW w:w="3507" w:type="pct"/>
            <w:gridSpan w:val="3"/>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04B95F5A">
            <w:pPr>
              <w:widowControl/>
              <w:adjustRightInd w:val="0"/>
              <w:snapToGrid w:val="0"/>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皮统政</w:t>
            </w:r>
          </w:p>
        </w:tc>
      </w:tr>
      <w:tr w14:paraId="25BAD829">
        <w:tblPrEx>
          <w:tblCellMar>
            <w:top w:w="0" w:type="dxa"/>
            <w:left w:w="0" w:type="dxa"/>
            <w:bottom w:w="0" w:type="dxa"/>
            <w:right w:w="0" w:type="dxa"/>
          </w:tblCellMar>
        </w:tblPrEx>
        <w:trPr>
          <w:trHeight w:val="397" w:hRule="atLeast"/>
        </w:trPr>
        <w:tc>
          <w:tcPr>
            <w:tcW w:w="1492"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458E3160">
            <w:pPr>
              <w:widowControl/>
              <w:adjustRightInd w:val="0"/>
              <w:snapToGrid w:val="0"/>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统一社会信用代码</w:t>
            </w:r>
          </w:p>
        </w:tc>
        <w:tc>
          <w:tcPr>
            <w:tcW w:w="3507" w:type="pct"/>
            <w:gridSpan w:val="3"/>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7B091014">
            <w:pPr>
              <w:widowControl/>
              <w:adjustRightInd w:val="0"/>
              <w:snapToGrid w:val="0"/>
              <w:rPr>
                <w:rFonts w:asciiTheme="minorEastAsia" w:hAnsiTheme="minorEastAsia" w:cstheme="minorEastAsia"/>
                <w:color w:val="000000"/>
                <w:kern w:val="0"/>
                <w:sz w:val="16"/>
                <w:szCs w:val="16"/>
              </w:rPr>
            </w:pPr>
            <w:r>
              <w:rPr>
                <w:rFonts w:ascii="宋体" w:hAnsi="宋体" w:cs="宋体"/>
                <w:bCs/>
                <w:snapToGrid w:val="0"/>
                <w:kern w:val="0"/>
                <w:sz w:val="16"/>
                <w:szCs w:val="16"/>
              </w:rPr>
              <w:t>91500115745302994P</w:t>
            </w:r>
          </w:p>
        </w:tc>
      </w:tr>
      <w:tr w14:paraId="11ABCA5C">
        <w:tblPrEx>
          <w:tblCellMar>
            <w:top w:w="0" w:type="dxa"/>
            <w:left w:w="0" w:type="dxa"/>
            <w:bottom w:w="0" w:type="dxa"/>
            <w:right w:w="0" w:type="dxa"/>
          </w:tblCellMar>
        </w:tblPrEx>
        <w:trPr>
          <w:trHeight w:val="397" w:hRule="atLeast"/>
        </w:trPr>
        <w:tc>
          <w:tcPr>
            <w:tcW w:w="1492"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0C037158">
            <w:pPr>
              <w:widowControl/>
              <w:adjustRightInd w:val="0"/>
              <w:snapToGrid w:val="0"/>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成立时间</w:t>
            </w:r>
          </w:p>
        </w:tc>
        <w:tc>
          <w:tcPr>
            <w:tcW w:w="3507" w:type="pct"/>
            <w:gridSpan w:val="3"/>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7B1FE547">
            <w:pPr>
              <w:widowControl/>
              <w:adjustRightInd w:val="0"/>
              <w:snapToGrid w:val="0"/>
              <w:rPr>
                <w:rFonts w:asciiTheme="minorEastAsia" w:hAnsiTheme="minorEastAsia" w:cstheme="minorEastAsia"/>
                <w:color w:val="000000"/>
                <w:kern w:val="0"/>
                <w:sz w:val="16"/>
                <w:szCs w:val="16"/>
              </w:rPr>
            </w:pPr>
            <w:r>
              <w:rPr>
                <w:rFonts w:ascii="宋体" w:hAnsi="宋体" w:cs="宋体"/>
                <w:bCs/>
                <w:snapToGrid w:val="0"/>
                <w:kern w:val="0"/>
                <w:sz w:val="16"/>
                <w:szCs w:val="16"/>
              </w:rPr>
              <w:t>2002</w:t>
            </w:r>
            <w:r>
              <w:rPr>
                <w:rFonts w:hint="eastAsia" w:ascii="宋体" w:hAnsi="宋体" w:cs="宋体"/>
                <w:bCs/>
                <w:snapToGrid w:val="0"/>
                <w:kern w:val="0"/>
                <w:sz w:val="16"/>
                <w:szCs w:val="16"/>
              </w:rPr>
              <w:t>年1</w:t>
            </w:r>
            <w:r>
              <w:rPr>
                <w:rFonts w:ascii="宋体" w:hAnsi="宋体" w:cs="宋体"/>
                <w:bCs/>
                <w:snapToGrid w:val="0"/>
                <w:kern w:val="0"/>
                <w:sz w:val="16"/>
                <w:szCs w:val="16"/>
              </w:rPr>
              <w:t>1</w:t>
            </w:r>
            <w:r>
              <w:rPr>
                <w:rFonts w:hint="eastAsia" w:ascii="宋体" w:hAnsi="宋体" w:cs="宋体"/>
                <w:bCs/>
                <w:snapToGrid w:val="0"/>
                <w:kern w:val="0"/>
                <w:sz w:val="16"/>
                <w:szCs w:val="16"/>
              </w:rPr>
              <w:t>月</w:t>
            </w:r>
            <w:r>
              <w:rPr>
                <w:rFonts w:ascii="宋体" w:hAnsi="宋体" w:cs="宋体"/>
                <w:bCs/>
                <w:snapToGrid w:val="0"/>
                <w:kern w:val="0"/>
                <w:sz w:val="16"/>
                <w:szCs w:val="16"/>
              </w:rPr>
              <w:t>15</w:t>
            </w:r>
            <w:r>
              <w:rPr>
                <w:rFonts w:hint="eastAsia" w:ascii="宋体" w:hAnsi="宋体" w:cs="宋体"/>
                <w:bCs/>
                <w:snapToGrid w:val="0"/>
                <w:kern w:val="0"/>
                <w:sz w:val="16"/>
                <w:szCs w:val="16"/>
              </w:rPr>
              <w:t>日</w:t>
            </w:r>
          </w:p>
        </w:tc>
      </w:tr>
      <w:tr w14:paraId="090E89AF">
        <w:tblPrEx>
          <w:tblCellMar>
            <w:top w:w="0" w:type="dxa"/>
            <w:left w:w="0" w:type="dxa"/>
            <w:bottom w:w="0" w:type="dxa"/>
            <w:right w:w="0" w:type="dxa"/>
          </w:tblCellMar>
        </w:tblPrEx>
        <w:trPr>
          <w:trHeight w:val="397" w:hRule="atLeast"/>
        </w:trPr>
        <w:tc>
          <w:tcPr>
            <w:tcW w:w="1492"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067EDEC0">
            <w:pPr>
              <w:widowControl/>
              <w:adjustRightInd w:val="0"/>
              <w:snapToGrid w:val="0"/>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注册地</w:t>
            </w:r>
          </w:p>
        </w:tc>
        <w:tc>
          <w:tcPr>
            <w:tcW w:w="3507" w:type="pct"/>
            <w:gridSpan w:val="3"/>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4C342F7C">
            <w:pPr>
              <w:widowControl/>
              <w:adjustRightInd w:val="0"/>
              <w:snapToGrid w:val="0"/>
              <w:jc w:val="left"/>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重庆市长寿区凤城轻化路（彭家坪）</w:t>
            </w:r>
          </w:p>
        </w:tc>
      </w:tr>
      <w:tr w14:paraId="6208B21F">
        <w:tblPrEx>
          <w:tblCellMar>
            <w:top w:w="0" w:type="dxa"/>
            <w:left w:w="0" w:type="dxa"/>
            <w:bottom w:w="0" w:type="dxa"/>
            <w:right w:w="0" w:type="dxa"/>
          </w:tblCellMar>
        </w:tblPrEx>
        <w:trPr>
          <w:trHeight w:val="397" w:hRule="atLeast"/>
        </w:trPr>
        <w:tc>
          <w:tcPr>
            <w:tcW w:w="1492"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0DC4A5B1">
            <w:pPr>
              <w:widowControl/>
              <w:adjustRightInd w:val="0"/>
              <w:snapToGrid w:val="0"/>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注册资本</w:t>
            </w:r>
          </w:p>
        </w:tc>
        <w:tc>
          <w:tcPr>
            <w:tcW w:w="3507" w:type="pct"/>
            <w:gridSpan w:val="3"/>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4C1523BC">
            <w:pPr>
              <w:widowControl/>
              <w:adjustRightInd w:val="0"/>
              <w:snapToGrid w:val="0"/>
              <w:jc w:val="left"/>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人民币</w:t>
            </w:r>
            <w:r>
              <w:rPr>
                <w:rFonts w:asciiTheme="minorEastAsia" w:hAnsiTheme="minorEastAsia" w:cstheme="minorEastAsia"/>
                <w:color w:val="000000"/>
                <w:kern w:val="0"/>
                <w:sz w:val="16"/>
                <w:szCs w:val="16"/>
              </w:rPr>
              <w:t>4,000.00万元</w:t>
            </w:r>
          </w:p>
        </w:tc>
      </w:tr>
      <w:tr w14:paraId="3723377B">
        <w:tblPrEx>
          <w:tblCellMar>
            <w:top w:w="0" w:type="dxa"/>
            <w:left w:w="0" w:type="dxa"/>
            <w:bottom w:w="0" w:type="dxa"/>
            <w:right w:w="0" w:type="dxa"/>
          </w:tblCellMar>
        </w:tblPrEx>
        <w:trPr>
          <w:trHeight w:val="397" w:hRule="atLeast"/>
        </w:trPr>
        <w:tc>
          <w:tcPr>
            <w:tcW w:w="1492"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02A62C67">
            <w:pPr>
              <w:widowControl/>
              <w:adjustRightInd w:val="0"/>
              <w:snapToGrid w:val="0"/>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公司类型</w:t>
            </w:r>
          </w:p>
        </w:tc>
        <w:tc>
          <w:tcPr>
            <w:tcW w:w="3507" w:type="pct"/>
            <w:gridSpan w:val="3"/>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3C02166D">
            <w:pPr>
              <w:widowControl/>
              <w:adjustRightInd w:val="0"/>
              <w:snapToGrid w:val="0"/>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有限责任公司（法人独资）</w:t>
            </w:r>
          </w:p>
        </w:tc>
      </w:tr>
      <w:tr w14:paraId="110F9665">
        <w:tblPrEx>
          <w:tblCellMar>
            <w:top w:w="0" w:type="dxa"/>
            <w:left w:w="0" w:type="dxa"/>
            <w:bottom w:w="0" w:type="dxa"/>
            <w:right w:w="0" w:type="dxa"/>
          </w:tblCellMar>
        </w:tblPrEx>
        <w:trPr>
          <w:trHeight w:val="397" w:hRule="atLeast"/>
        </w:trPr>
        <w:tc>
          <w:tcPr>
            <w:tcW w:w="1492"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5D143908">
            <w:pPr>
              <w:widowControl/>
              <w:adjustRightInd w:val="0"/>
              <w:snapToGrid w:val="0"/>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经营范围</w:t>
            </w:r>
          </w:p>
        </w:tc>
        <w:tc>
          <w:tcPr>
            <w:tcW w:w="3507" w:type="pct"/>
            <w:gridSpan w:val="3"/>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6BDCCF74">
            <w:pPr>
              <w:widowControl/>
              <w:adjustRightInd w:val="0"/>
              <w:snapToGrid w:val="0"/>
              <w:jc w:val="left"/>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许可项目：建设工程施工，输电、供电、受电电力设施的安装、维修和试验（依法须经批准的项目，经相关部门批准后方可开展经营活动，具体经营项目以相关部门批准文件或许可证件为准）一般项目：制造、销售：开关柜屏、变压器、箱变外壳、电线；修理变压器；输配电及控制设备制造、安装、修试、运维；普通机械设备加工；水利电力工程安装及技术咨询；销售：建材；再生资源回收、加工（不含固体废物、危险废物、报废汽车等需经相关部门批准的项目），磁性材料销售（除依法须经批准的项目外，凭营业执照依法自主开展经营活动）</w:t>
            </w:r>
          </w:p>
        </w:tc>
      </w:tr>
      <w:tr w14:paraId="693DCAB3">
        <w:tblPrEx>
          <w:tblCellMar>
            <w:top w:w="0" w:type="dxa"/>
            <w:left w:w="0" w:type="dxa"/>
            <w:bottom w:w="0" w:type="dxa"/>
            <w:right w:w="0" w:type="dxa"/>
          </w:tblCellMar>
        </w:tblPrEx>
        <w:trPr>
          <w:trHeight w:val="397" w:hRule="atLeast"/>
        </w:trPr>
        <w:tc>
          <w:tcPr>
            <w:tcW w:w="1492" w:type="pct"/>
            <w:vMerge w:val="restar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1E0960E8">
            <w:pPr>
              <w:widowControl/>
              <w:adjustRightInd w:val="0"/>
              <w:snapToGrid w:val="0"/>
              <w:jc w:val="left"/>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主要财务指标（万元）</w:t>
            </w:r>
          </w:p>
        </w:tc>
        <w:tc>
          <w:tcPr>
            <w:tcW w:w="898"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68D7714E">
            <w:pPr>
              <w:widowControl/>
              <w:adjustRightInd w:val="0"/>
              <w:snapToGrid w:val="0"/>
              <w:jc w:val="center"/>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项目</w:t>
            </w:r>
          </w:p>
        </w:tc>
        <w:tc>
          <w:tcPr>
            <w:tcW w:w="1263"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2C22B30D">
            <w:pPr>
              <w:widowControl/>
              <w:adjustRightInd w:val="0"/>
              <w:snapToGrid w:val="0"/>
              <w:jc w:val="center"/>
              <w:rPr>
                <w:rFonts w:ascii="宋体" w:hAnsi="宋体" w:cs="宋体"/>
                <w:kern w:val="0"/>
                <w:sz w:val="16"/>
                <w:szCs w:val="16"/>
              </w:rPr>
            </w:pPr>
            <w:r>
              <w:rPr>
                <w:rFonts w:hint="eastAsia" w:ascii="宋体" w:hAnsi="宋体" w:cs="宋体"/>
                <w:kern w:val="0"/>
                <w:sz w:val="16"/>
                <w:szCs w:val="16"/>
              </w:rPr>
              <w:t>2025年</w:t>
            </w:r>
            <w:r>
              <w:rPr>
                <w:rFonts w:ascii="宋体" w:hAnsi="宋体" w:cs="宋体"/>
                <w:kern w:val="0"/>
                <w:sz w:val="16"/>
                <w:szCs w:val="16"/>
              </w:rPr>
              <w:t>6</w:t>
            </w:r>
            <w:r>
              <w:rPr>
                <w:rFonts w:hint="eastAsia" w:ascii="宋体" w:hAnsi="宋体" w:cs="宋体"/>
                <w:kern w:val="0"/>
                <w:sz w:val="16"/>
                <w:szCs w:val="16"/>
              </w:rPr>
              <w:t>月</w:t>
            </w:r>
            <w:r>
              <w:rPr>
                <w:rFonts w:ascii="宋体" w:hAnsi="宋体" w:cs="宋体"/>
                <w:kern w:val="0"/>
                <w:sz w:val="16"/>
                <w:szCs w:val="16"/>
              </w:rPr>
              <w:t>30</w:t>
            </w:r>
            <w:r>
              <w:rPr>
                <w:rFonts w:hint="eastAsia" w:ascii="宋体" w:hAnsi="宋体" w:cs="宋体"/>
                <w:kern w:val="0"/>
                <w:sz w:val="16"/>
                <w:szCs w:val="16"/>
              </w:rPr>
              <w:t>日</w:t>
            </w:r>
          </w:p>
          <w:p w14:paraId="4A3BBAE9">
            <w:pPr>
              <w:widowControl/>
              <w:adjustRightInd w:val="0"/>
              <w:snapToGrid w:val="0"/>
              <w:jc w:val="center"/>
              <w:rPr>
                <w:rFonts w:asciiTheme="minorEastAsia" w:hAnsiTheme="minorEastAsia" w:cstheme="minorEastAsia"/>
                <w:color w:val="FF0000"/>
                <w:kern w:val="0"/>
                <w:sz w:val="16"/>
                <w:szCs w:val="16"/>
              </w:rPr>
            </w:pPr>
            <w:r>
              <w:rPr>
                <w:rFonts w:hint="eastAsia" w:ascii="宋体" w:hAnsi="宋体" w:cs="宋体"/>
                <w:kern w:val="0"/>
                <w:sz w:val="16"/>
                <w:szCs w:val="16"/>
              </w:rPr>
              <w:t>（未经审计）</w:t>
            </w:r>
          </w:p>
        </w:tc>
        <w:tc>
          <w:tcPr>
            <w:tcW w:w="1346"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707E5788">
            <w:pPr>
              <w:widowControl/>
              <w:adjustRightInd w:val="0"/>
              <w:snapToGrid w:val="0"/>
              <w:jc w:val="center"/>
              <w:rPr>
                <w:rFonts w:ascii="宋体" w:hAnsi="宋体" w:cs="宋体"/>
                <w:kern w:val="0"/>
                <w:sz w:val="16"/>
                <w:szCs w:val="16"/>
              </w:rPr>
            </w:pPr>
            <w:r>
              <w:rPr>
                <w:rFonts w:hint="eastAsia" w:ascii="宋体" w:hAnsi="宋体" w:cs="宋体"/>
                <w:kern w:val="0"/>
                <w:sz w:val="16"/>
                <w:szCs w:val="16"/>
              </w:rPr>
              <w:t>2024年12月31日</w:t>
            </w:r>
          </w:p>
          <w:p w14:paraId="39F0E2E9">
            <w:pPr>
              <w:widowControl/>
              <w:adjustRightInd w:val="0"/>
              <w:snapToGrid w:val="0"/>
              <w:jc w:val="center"/>
              <w:rPr>
                <w:rFonts w:asciiTheme="minorEastAsia" w:hAnsiTheme="minorEastAsia" w:cstheme="minorEastAsia"/>
                <w:color w:val="FF0000"/>
                <w:kern w:val="0"/>
                <w:sz w:val="16"/>
                <w:szCs w:val="16"/>
              </w:rPr>
            </w:pPr>
            <w:r>
              <w:rPr>
                <w:rFonts w:hint="eastAsia" w:ascii="宋体" w:hAnsi="宋体" w:cs="宋体"/>
                <w:kern w:val="0"/>
                <w:sz w:val="16"/>
                <w:szCs w:val="16"/>
              </w:rPr>
              <w:t>（经审计）</w:t>
            </w:r>
          </w:p>
        </w:tc>
      </w:tr>
      <w:tr w14:paraId="494B76CC">
        <w:tblPrEx>
          <w:tblCellMar>
            <w:top w:w="0" w:type="dxa"/>
            <w:left w:w="0" w:type="dxa"/>
            <w:bottom w:w="0" w:type="dxa"/>
            <w:right w:w="0" w:type="dxa"/>
          </w:tblCellMar>
        </w:tblPrEx>
        <w:trPr>
          <w:trHeight w:val="397" w:hRule="atLeast"/>
        </w:trPr>
        <w:tc>
          <w:tcPr>
            <w:tcW w:w="1492" w:type="pct"/>
            <w:vMerge w:val="continue"/>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02962EDD">
            <w:pPr>
              <w:widowControl/>
              <w:adjustRightInd w:val="0"/>
              <w:snapToGrid w:val="0"/>
              <w:jc w:val="left"/>
              <w:rPr>
                <w:rFonts w:asciiTheme="minorEastAsia" w:hAnsiTheme="minorEastAsia" w:cstheme="minorEastAsia"/>
                <w:color w:val="000000"/>
                <w:kern w:val="0"/>
                <w:sz w:val="16"/>
                <w:szCs w:val="16"/>
              </w:rPr>
            </w:pPr>
          </w:p>
        </w:tc>
        <w:tc>
          <w:tcPr>
            <w:tcW w:w="898"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56909519">
            <w:pPr>
              <w:widowControl/>
              <w:adjustRightInd w:val="0"/>
              <w:snapToGrid w:val="0"/>
              <w:jc w:val="left"/>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资产总额</w:t>
            </w:r>
          </w:p>
        </w:tc>
        <w:tc>
          <w:tcPr>
            <w:tcW w:w="1263"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03B4BE7F">
            <w:pPr>
              <w:widowControl/>
              <w:jc w:val="right"/>
              <w:textAlignment w:val="center"/>
              <w:rPr>
                <w:rFonts w:asciiTheme="minorEastAsia" w:hAnsiTheme="minorEastAsia" w:cstheme="minorEastAsia"/>
                <w:kern w:val="0"/>
                <w:sz w:val="16"/>
                <w:szCs w:val="16"/>
              </w:rPr>
            </w:pPr>
            <w:r>
              <w:rPr>
                <w:rFonts w:ascii="宋体" w:hAnsi="宋体" w:cs="宋体"/>
                <w:kern w:val="0"/>
                <w:sz w:val="16"/>
                <w:szCs w:val="16"/>
                <w:lang w:bidi="ar"/>
              </w:rPr>
              <w:t>5,514.17</w:t>
            </w:r>
          </w:p>
        </w:tc>
        <w:tc>
          <w:tcPr>
            <w:tcW w:w="1346"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47FCD385">
            <w:pPr>
              <w:widowControl/>
              <w:jc w:val="right"/>
              <w:textAlignment w:val="center"/>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4</w:t>
            </w:r>
            <w:r>
              <w:rPr>
                <w:rFonts w:asciiTheme="minorEastAsia" w:hAnsiTheme="minorEastAsia" w:cstheme="minorEastAsia"/>
                <w:color w:val="000000"/>
                <w:kern w:val="0"/>
                <w:sz w:val="16"/>
                <w:szCs w:val="16"/>
              </w:rPr>
              <w:t>,769.74</w:t>
            </w:r>
          </w:p>
        </w:tc>
      </w:tr>
      <w:tr w14:paraId="1A084F63">
        <w:tblPrEx>
          <w:tblCellMar>
            <w:top w:w="0" w:type="dxa"/>
            <w:left w:w="0" w:type="dxa"/>
            <w:bottom w:w="0" w:type="dxa"/>
            <w:right w:w="0" w:type="dxa"/>
          </w:tblCellMar>
        </w:tblPrEx>
        <w:trPr>
          <w:trHeight w:val="397" w:hRule="atLeast"/>
        </w:trPr>
        <w:tc>
          <w:tcPr>
            <w:tcW w:w="1492" w:type="pct"/>
            <w:vMerge w:val="continue"/>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6F195602">
            <w:pPr>
              <w:widowControl/>
              <w:adjustRightInd w:val="0"/>
              <w:snapToGrid w:val="0"/>
              <w:jc w:val="left"/>
              <w:rPr>
                <w:rFonts w:asciiTheme="minorEastAsia" w:hAnsiTheme="minorEastAsia" w:cstheme="minorEastAsia"/>
                <w:color w:val="000000"/>
                <w:kern w:val="0"/>
                <w:sz w:val="16"/>
                <w:szCs w:val="16"/>
              </w:rPr>
            </w:pPr>
          </w:p>
        </w:tc>
        <w:tc>
          <w:tcPr>
            <w:tcW w:w="898"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3A058C21">
            <w:pPr>
              <w:widowControl/>
              <w:adjustRightInd w:val="0"/>
              <w:snapToGrid w:val="0"/>
              <w:jc w:val="left"/>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负债总额</w:t>
            </w:r>
          </w:p>
        </w:tc>
        <w:tc>
          <w:tcPr>
            <w:tcW w:w="1263"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01DD9C25">
            <w:pPr>
              <w:widowControl/>
              <w:jc w:val="right"/>
              <w:textAlignment w:val="center"/>
              <w:rPr>
                <w:rFonts w:asciiTheme="minorEastAsia" w:hAnsiTheme="minorEastAsia" w:cstheme="minorEastAsia"/>
                <w:kern w:val="0"/>
                <w:sz w:val="16"/>
                <w:szCs w:val="16"/>
              </w:rPr>
            </w:pPr>
            <w:r>
              <w:rPr>
                <w:rFonts w:ascii="宋体" w:hAnsi="宋体" w:cs="宋体"/>
                <w:kern w:val="0"/>
                <w:sz w:val="16"/>
                <w:szCs w:val="16"/>
                <w:lang w:bidi="ar"/>
              </w:rPr>
              <w:t>1,909.59</w:t>
            </w:r>
          </w:p>
        </w:tc>
        <w:tc>
          <w:tcPr>
            <w:tcW w:w="1346"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2DBBD5DD">
            <w:pPr>
              <w:widowControl/>
              <w:jc w:val="right"/>
              <w:textAlignment w:val="center"/>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9</w:t>
            </w:r>
            <w:r>
              <w:rPr>
                <w:rFonts w:asciiTheme="minorEastAsia" w:hAnsiTheme="minorEastAsia" w:cstheme="minorEastAsia"/>
                <w:color w:val="000000"/>
                <w:kern w:val="0"/>
                <w:sz w:val="16"/>
                <w:szCs w:val="16"/>
              </w:rPr>
              <w:t>56.66</w:t>
            </w:r>
          </w:p>
        </w:tc>
      </w:tr>
      <w:tr w14:paraId="7B3E4412">
        <w:tblPrEx>
          <w:tblCellMar>
            <w:top w:w="0" w:type="dxa"/>
            <w:left w:w="0" w:type="dxa"/>
            <w:bottom w:w="0" w:type="dxa"/>
            <w:right w:w="0" w:type="dxa"/>
          </w:tblCellMar>
        </w:tblPrEx>
        <w:trPr>
          <w:trHeight w:val="397" w:hRule="atLeast"/>
        </w:trPr>
        <w:tc>
          <w:tcPr>
            <w:tcW w:w="1492" w:type="pct"/>
            <w:vMerge w:val="continue"/>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4BDA5A1D">
            <w:pPr>
              <w:widowControl/>
              <w:adjustRightInd w:val="0"/>
              <w:snapToGrid w:val="0"/>
              <w:jc w:val="left"/>
              <w:rPr>
                <w:rFonts w:asciiTheme="minorEastAsia" w:hAnsiTheme="minorEastAsia" w:cstheme="minorEastAsia"/>
                <w:color w:val="000000"/>
                <w:kern w:val="0"/>
                <w:sz w:val="16"/>
                <w:szCs w:val="16"/>
              </w:rPr>
            </w:pPr>
          </w:p>
        </w:tc>
        <w:tc>
          <w:tcPr>
            <w:tcW w:w="898"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12BFD983">
            <w:pPr>
              <w:widowControl/>
              <w:adjustRightInd w:val="0"/>
              <w:snapToGrid w:val="0"/>
              <w:jc w:val="left"/>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资产净额</w:t>
            </w:r>
          </w:p>
        </w:tc>
        <w:tc>
          <w:tcPr>
            <w:tcW w:w="1263"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65083B4C">
            <w:pPr>
              <w:widowControl/>
              <w:jc w:val="right"/>
              <w:textAlignment w:val="center"/>
              <w:rPr>
                <w:rFonts w:asciiTheme="minorEastAsia" w:hAnsiTheme="minorEastAsia" w:cstheme="minorEastAsia"/>
                <w:kern w:val="0"/>
                <w:sz w:val="16"/>
                <w:szCs w:val="16"/>
              </w:rPr>
            </w:pPr>
            <w:r>
              <w:rPr>
                <w:rFonts w:hint="eastAsia" w:ascii="宋体" w:hAnsi="宋体" w:cs="宋体"/>
                <w:kern w:val="0"/>
                <w:sz w:val="16"/>
                <w:szCs w:val="16"/>
                <w:lang w:bidi="ar"/>
              </w:rPr>
              <w:t>3,604.58</w:t>
            </w:r>
          </w:p>
        </w:tc>
        <w:tc>
          <w:tcPr>
            <w:tcW w:w="1346"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07D7C21B">
            <w:pPr>
              <w:widowControl/>
              <w:jc w:val="right"/>
              <w:textAlignment w:val="center"/>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3</w:t>
            </w:r>
            <w:r>
              <w:rPr>
                <w:rFonts w:asciiTheme="minorEastAsia" w:hAnsiTheme="minorEastAsia" w:cstheme="minorEastAsia"/>
                <w:color w:val="000000"/>
                <w:kern w:val="0"/>
                <w:sz w:val="16"/>
                <w:szCs w:val="16"/>
              </w:rPr>
              <w:t>,813.08</w:t>
            </w:r>
          </w:p>
        </w:tc>
      </w:tr>
      <w:tr w14:paraId="48D63222">
        <w:tblPrEx>
          <w:tblCellMar>
            <w:top w:w="0" w:type="dxa"/>
            <w:left w:w="0" w:type="dxa"/>
            <w:bottom w:w="0" w:type="dxa"/>
            <w:right w:w="0" w:type="dxa"/>
          </w:tblCellMar>
        </w:tblPrEx>
        <w:trPr>
          <w:trHeight w:val="397" w:hRule="atLeast"/>
        </w:trPr>
        <w:tc>
          <w:tcPr>
            <w:tcW w:w="1492" w:type="pct"/>
            <w:vMerge w:val="continue"/>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1EC66492">
            <w:pPr>
              <w:widowControl/>
              <w:adjustRightInd w:val="0"/>
              <w:snapToGrid w:val="0"/>
              <w:jc w:val="left"/>
              <w:rPr>
                <w:rFonts w:asciiTheme="minorEastAsia" w:hAnsiTheme="minorEastAsia" w:cstheme="minorEastAsia"/>
                <w:color w:val="000000"/>
                <w:kern w:val="0"/>
                <w:sz w:val="16"/>
                <w:szCs w:val="16"/>
              </w:rPr>
            </w:pPr>
          </w:p>
        </w:tc>
        <w:tc>
          <w:tcPr>
            <w:tcW w:w="898"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3C0CFC99">
            <w:pPr>
              <w:widowControl/>
              <w:adjustRightInd w:val="0"/>
              <w:snapToGrid w:val="0"/>
              <w:jc w:val="left"/>
              <w:rPr>
                <w:rFonts w:asciiTheme="minorEastAsia" w:hAnsiTheme="minorEastAsia" w:cstheme="minorEastAsia"/>
                <w:color w:val="000000"/>
                <w:kern w:val="0"/>
                <w:sz w:val="16"/>
                <w:szCs w:val="16"/>
              </w:rPr>
            </w:pPr>
          </w:p>
        </w:tc>
        <w:tc>
          <w:tcPr>
            <w:tcW w:w="1263"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59433EF7">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2025年1-</w:t>
            </w:r>
            <w:r>
              <w:rPr>
                <w:rFonts w:ascii="宋体" w:hAnsi="宋体" w:cs="宋体"/>
                <w:color w:val="000000"/>
                <w:kern w:val="0"/>
                <w:sz w:val="16"/>
                <w:szCs w:val="16"/>
                <w:lang w:bidi="ar"/>
              </w:rPr>
              <w:t>6</w:t>
            </w:r>
            <w:r>
              <w:rPr>
                <w:rFonts w:hint="eastAsia" w:ascii="宋体" w:hAnsi="宋体" w:cs="宋体"/>
                <w:color w:val="000000"/>
                <w:kern w:val="0"/>
                <w:sz w:val="16"/>
                <w:szCs w:val="16"/>
                <w:lang w:bidi="ar"/>
              </w:rPr>
              <w:t>月</w:t>
            </w:r>
          </w:p>
          <w:p w14:paraId="03D36B37">
            <w:pPr>
              <w:widowControl/>
              <w:jc w:val="center"/>
              <w:textAlignment w:val="center"/>
              <w:rPr>
                <w:rFonts w:asciiTheme="minorEastAsia" w:hAnsiTheme="minorEastAsia" w:cstheme="minorEastAsia"/>
                <w:color w:val="000000"/>
                <w:kern w:val="0"/>
                <w:sz w:val="16"/>
                <w:szCs w:val="16"/>
              </w:rPr>
            </w:pPr>
            <w:r>
              <w:rPr>
                <w:rFonts w:hint="eastAsia" w:ascii="宋体" w:hAnsi="宋体" w:cs="宋体"/>
                <w:color w:val="000000"/>
                <w:kern w:val="0"/>
                <w:sz w:val="16"/>
                <w:szCs w:val="16"/>
                <w:lang w:bidi="ar"/>
              </w:rPr>
              <w:t>（未经审计）</w:t>
            </w:r>
          </w:p>
        </w:tc>
        <w:tc>
          <w:tcPr>
            <w:tcW w:w="1346"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60C4DC85">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2024年1-12月</w:t>
            </w:r>
          </w:p>
          <w:p w14:paraId="7B4CB55A">
            <w:pPr>
              <w:widowControl/>
              <w:jc w:val="center"/>
              <w:textAlignment w:val="center"/>
              <w:rPr>
                <w:rFonts w:asciiTheme="minorEastAsia" w:hAnsiTheme="minorEastAsia" w:cstheme="minorEastAsia"/>
                <w:color w:val="000000"/>
                <w:kern w:val="0"/>
                <w:sz w:val="16"/>
                <w:szCs w:val="16"/>
              </w:rPr>
            </w:pPr>
            <w:r>
              <w:rPr>
                <w:rFonts w:hint="eastAsia" w:ascii="宋体" w:hAnsi="宋体" w:cs="宋体"/>
                <w:color w:val="000000"/>
                <w:kern w:val="0"/>
                <w:sz w:val="16"/>
                <w:szCs w:val="16"/>
                <w:lang w:bidi="ar"/>
              </w:rPr>
              <w:t>（经审计）</w:t>
            </w:r>
          </w:p>
        </w:tc>
      </w:tr>
      <w:tr w14:paraId="4006D15D">
        <w:tblPrEx>
          <w:tblCellMar>
            <w:top w:w="0" w:type="dxa"/>
            <w:left w:w="0" w:type="dxa"/>
            <w:bottom w:w="0" w:type="dxa"/>
            <w:right w:w="0" w:type="dxa"/>
          </w:tblCellMar>
        </w:tblPrEx>
        <w:trPr>
          <w:trHeight w:val="397" w:hRule="atLeast"/>
        </w:trPr>
        <w:tc>
          <w:tcPr>
            <w:tcW w:w="1492" w:type="pct"/>
            <w:vMerge w:val="continue"/>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5C4E26AE">
            <w:pPr>
              <w:widowControl/>
              <w:adjustRightInd w:val="0"/>
              <w:snapToGrid w:val="0"/>
              <w:jc w:val="left"/>
              <w:rPr>
                <w:rFonts w:asciiTheme="minorEastAsia" w:hAnsiTheme="minorEastAsia" w:cstheme="minorEastAsia"/>
                <w:color w:val="000000"/>
                <w:kern w:val="0"/>
                <w:sz w:val="16"/>
                <w:szCs w:val="16"/>
              </w:rPr>
            </w:pPr>
          </w:p>
        </w:tc>
        <w:tc>
          <w:tcPr>
            <w:tcW w:w="898"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3D2EC35E">
            <w:pPr>
              <w:widowControl/>
              <w:adjustRightInd w:val="0"/>
              <w:snapToGrid w:val="0"/>
              <w:jc w:val="left"/>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营业收入</w:t>
            </w:r>
          </w:p>
        </w:tc>
        <w:tc>
          <w:tcPr>
            <w:tcW w:w="1263"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4609C50A">
            <w:pPr>
              <w:widowControl/>
              <w:jc w:val="right"/>
              <w:textAlignment w:val="center"/>
              <w:rPr>
                <w:rFonts w:asciiTheme="minorEastAsia" w:hAnsiTheme="minorEastAsia" w:cstheme="minorEastAsia"/>
                <w:kern w:val="0"/>
                <w:sz w:val="16"/>
                <w:szCs w:val="16"/>
              </w:rPr>
            </w:pPr>
            <w:r>
              <w:rPr>
                <w:rFonts w:ascii="宋体" w:hAnsi="宋体" w:cs="宋体"/>
                <w:kern w:val="0"/>
                <w:sz w:val="16"/>
                <w:szCs w:val="16"/>
                <w:lang w:bidi="ar"/>
              </w:rPr>
              <w:t>2,910.22</w:t>
            </w:r>
          </w:p>
        </w:tc>
        <w:tc>
          <w:tcPr>
            <w:tcW w:w="1346"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7FD8ECF1">
            <w:pPr>
              <w:widowControl/>
              <w:jc w:val="right"/>
              <w:textAlignment w:val="center"/>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5</w:t>
            </w:r>
            <w:r>
              <w:rPr>
                <w:rFonts w:asciiTheme="minorEastAsia" w:hAnsiTheme="minorEastAsia" w:cstheme="minorEastAsia"/>
                <w:color w:val="000000"/>
                <w:kern w:val="0"/>
                <w:sz w:val="16"/>
                <w:szCs w:val="16"/>
              </w:rPr>
              <w:t>,775.55</w:t>
            </w:r>
          </w:p>
        </w:tc>
      </w:tr>
      <w:tr w14:paraId="07AEDA88">
        <w:tblPrEx>
          <w:tblCellMar>
            <w:top w:w="0" w:type="dxa"/>
            <w:left w:w="0" w:type="dxa"/>
            <w:bottom w:w="0" w:type="dxa"/>
            <w:right w:w="0" w:type="dxa"/>
          </w:tblCellMar>
        </w:tblPrEx>
        <w:trPr>
          <w:trHeight w:val="397" w:hRule="atLeast"/>
        </w:trPr>
        <w:tc>
          <w:tcPr>
            <w:tcW w:w="1492" w:type="pct"/>
            <w:vMerge w:val="continue"/>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609AA158">
            <w:pPr>
              <w:widowControl/>
              <w:adjustRightInd w:val="0"/>
              <w:snapToGrid w:val="0"/>
              <w:jc w:val="left"/>
              <w:rPr>
                <w:rFonts w:asciiTheme="minorEastAsia" w:hAnsiTheme="minorEastAsia" w:cstheme="minorEastAsia"/>
                <w:color w:val="000000"/>
                <w:kern w:val="0"/>
                <w:sz w:val="16"/>
                <w:szCs w:val="16"/>
              </w:rPr>
            </w:pPr>
          </w:p>
        </w:tc>
        <w:tc>
          <w:tcPr>
            <w:tcW w:w="898"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272C8E87">
            <w:pPr>
              <w:widowControl/>
              <w:adjustRightInd w:val="0"/>
              <w:snapToGrid w:val="0"/>
              <w:jc w:val="left"/>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净利润</w:t>
            </w:r>
          </w:p>
        </w:tc>
        <w:tc>
          <w:tcPr>
            <w:tcW w:w="1263"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7364978C">
            <w:pPr>
              <w:widowControl/>
              <w:jc w:val="right"/>
              <w:textAlignment w:val="center"/>
              <w:rPr>
                <w:rFonts w:asciiTheme="minorEastAsia" w:hAnsiTheme="minorEastAsia" w:cstheme="minorEastAsia"/>
                <w:kern w:val="0"/>
                <w:sz w:val="16"/>
                <w:szCs w:val="16"/>
              </w:rPr>
            </w:pPr>
            <w:r>
              <w:rPr>
                <w:rFonts w:ascii="宋体" w:hAnsi="宋体" w:cs="宋体"/>
                <w:kern w:val="0"/>
                <w:sz w:val="16"/>
                <w:szCs w:val="16"/>
                <w:lang w:bidi="ar"/>
              </w:rPr>
              <w:t>-236.56</w:t>
            </w:r>
          </w:p>
        </w:tc>
        <w:tc>
          <w:tcPr>
            <w:tcW w:w="1346" w:type="pct"/>
            <w:tcBorders>
              <w:top w:val="single" w:color="4D4D4D" w:sz="4" w:space="0"/>
              <w:left w:val="single" w:color="4D4D4D" w:sz="4" w:space="0"/>
              <w:bottom w:val="single" w:color="4D4D4D" w:sz="4" w:space="0"/>
              <w:right w:val="single" w:color="4D4D4D" w:sz="4" w:space="0"/>
            </w:tcBorders>
            <w:shd w:val="clear" w:color="auto" w:fill="auto"/>
            <w:tcMar>
              <w:top w:w="56" w:type="dxa"/>
              <w:left w:w="56" w:type="dxa"/>
              <w:bottom w:w="56" w:type="dxa"/>
              <w:right w:w="56" w:type="dxa"/>
            </w:tcMar>
            <w:vAlign w:val="center"/>
          </w:tcPr>
          <w:p w14:paraId="7516D323">
            <w:pPr>
              <w:widowControl/>
              <w:jc w:val="right"/>
              <w:textAlignment w:val="center"/>
              <w:rPr>
                <w:rFonts w:asciiTheme="minorEastAsia" w:hAnsiTheme="minorEastAsia" w:cstheme="minorEastAsia"/>
                <w:color w:val="000000"/>
                <w:kern w:val="0"/>
                <w:sz w:val="16"/>
                <w:szCs w:val="16"/>
              </w:rPr>
            </w:pPr>
            <w:r>
              <w:rPr>
                <w:rFonts w:hint="eastAsia" w:asciiTheme="minorEastAsia" w:hAnsiTheme="minorEastAsia" w:cstheme="minorEastAsia"/>
                <w:color w:val="000000"/>
                <w:kern w:val="0"/>
                <w:sz w:val="16"/>
                <w:szCs w:val="16"/>
              </w:rPr>
              <w:t>-</w:t>
            </w:r>
            <w:r>
              <w:rPr>
                <w:rFonts w:asciiTheme="minorEastAsia" w:hAnsiTheme="minorEastAsia" w:cstheme="minorEastAsia"/>
                <w:color w:val="000000"/>
                <w:kern w:val="0"/>
                <w:sz w:val="16"/>
                <w:szCs w:val="16"/>
              </w:rPr>
              <w:t>311.09</w:t>
            </w:r>
          </w:p>
        </w:tc>
      </w:tr>
    </w:tbl>
    <w:p w14:paraId="5A024DC6"/>
    <w:p w14:paraId="6035A8D5">
      <w:pPr>
        <w:widowControl/>
        <w:numPr>
          <w:ilvl w:val="0"/>
          <w:numId w:val="2"/>
        </w:numPr>
        <w:adjustRightInd w:val="0"/>
        <w:snapToGrid w:val="0"/>
        <w:spacing w:line="560" w:lineRule="exact"/>
        <w:ind w:firstLine="562" w:firstLineChars="200"/>
        <w:jc w:val="left"/>
        <w:outlineLvl w:val="0"/>
        <w:rPr>
          <w:rFonts w:asciiTheme="minorEastAsia" w:hAnsiTheme="minorEastAsia" w:cstheme="minorEastAsia"/>
          <w:b/>
          <w:bCs/>
          <w:sz w:val="28"/>
          <w:szCs w:val="28"/>
        </w:rPr>
      </w:pPr>
      <w:r>
        <w:rPr>
          <w:rFonts w:hint="eastAsia" w:asciiTheme="minorEastAsia" w:hAnsiTheme="minorEastAsia" w:cstheme="minorEastAsia"/>
          <w:b/>
          <w:bCs/>
          <w:sz w:val="28"/>
          <w:szCs w:val="28"/>
        </w:rPr>
        <w:t>担保协议的主要内容</w:t>
      </w:r>
    </w:p>
    <w:p w14:paraId="6F22CB51">
      <w:pPr>
        <w:widowControl/>
        <w:adjustRightInd w:val="0"/>
        <w:snapToGrid w:val="0"/>
        <w:spacing w:line="560" w:lineRule="exact"/>
        <w:ind w:firstLine="480" w:firstLineChars="200"/>
        <w:jc w:val="left"/>
        <w:outlineLvl w:val="0"/>
        <w:rPr>
          <w:rFonts w:ascii="宋体" w:hAnsi="宋体" w:cs="宋体"/>
          <w:kern w:val="0"/>
          <w:sz w:val="22"/>
          <w:szCs w:val="24"/>
        </w:rPr>
      </w:pPr>
      <w:r>
        <w:rPr>
          <w:rFonts w:hint="eastAsia" w:asciiTheme="minorEastAsia" w:hAnsiTheme="minorEastAsia" w:cstheme="minorEastAsia"/>
          <w:sz w:val="24"/>
          <w:szCs w:val="28"/>
        </w:rPr>
        <w:t>（一）渤海银行股份有限公司</w:t>
      </w:r>
      <w:r>
        <w:rPr>
          <w:rFonts w:hint="eastAsia" w:ascii="宋体" w:hAnsi="宋体" w:cs="宋体"/>
          <w:kern w:val="0"/>
          <w:sz w:val="24"/>
          <w:szCs w:val="28"/>
        </w:rPr>
        <w:t>《最高额保证协议》</w:t>
      </w:r>
    </w:p>
    <w:p w14:paraId="1824BC30">
      <w:pPr>
        <w:pStyle w:val="9"/>
        <w:spacing w:beforeAutospacing="0" w:afterAutospacing="0" w:line="560" w:lineRule="exact"/>
        <w:ind w:firstLine="480" w:firstLineChars="200"/>
        <w:rPr>
          <w:rFonts w:ascii="宋体" w:hAnsi="宋体" w:cs="宋体"/>
          <w:szCs w:val="24"/>
        </w:rPr>
      </w:pPr>
      <w:r>
        <w:rPr>
          <w:rFonts w:hint="eastAsia" w:ascii="宋体" w:hAnsi="宋体" w:cs="宋体"/>
          <w:bCs/>
          <w:snapToGrid w:val="0"/>
          <w:szCs w:val="24"/>
        </w:rPr>
        <w:t>1、</w:t>
      </w:r>
      <w:r>
        <w:rPr>
          <w:rFonts w:hint="eastAsia" w:ascii="宋体" w:hAnsi="宋体" w:cs="宋体"/>
          <w:szCs w:val="24"/>
        </w:rPr>
        <w:t>保证人：重庆望变电气（集团）股份有限公司</w:t>
      </w:r>
    </w:p>
    <w:p w14:paraId="1E735603">
      <w:pPr>
        <w:numPr>
          <w:ilvl w:val="255"/>
          <w:numId w:val="0"/>
        </w:numPr>
        <w:autoSpaceDE w:val="0"/>
        <w:autoSpaceDN w:val="0"/>
        <w:adjustRightInd w:val="0"/>
        <w:spacing w:line="560" w:lineRule="exact"/>
        <w:ind w:firstLine="480" w:firstLineChars="200"/>
        <w:rPr>
          <w:rFonts w:ascii="宋体" w:hAnsi="宋体" w:cs="宋体"/>
          <w:kern w:val="0"/>
          <w:sz w:val="24"/>
          <w:szCs w:val="24"/>
        </w:rPr>
      </w:pPr>
      <w:r>
        <w:rPr>
          <w:rFonts w:hint="eastAsia" w:ascii="宋体" w:hAnsi="宋体" w:cs="宋体"/>
          <w:kern w:val="0"/>
          <w:sz w:val="24"/>
          <w:szCs w:val="24"/>
        </w:rPr>
        <w:t>2、保证方式：连带责任保证</w:t>
      </w:r>
    </w:p>
    <w:p w14:paraId="49C75333">
      <w:pPr>
        <w:numPr>
          <w:ilvl w:val="255"/>
          <w:numId w:val="0"/>
        </w:numPr>
        <w:autoSpaceDE w:val="0"/>
        <w:autoSpaceDN w:val="0"/>
        <w:adjustRightInd w:val="0"/>
        <w:spacing w:line="560" w:lineRule="exact"/>
        <w:ind w:firstLine="480" w:firstLineChars="200"/>
        <w:rPr>
          <w:rFonts w:ascii="宋体" w:hAnsi="宋体" w:cs="宋体"/>
          <w:kern w:val="0"/>
          <w:sz w:val="24"/>
          <w:szCs w:val="24"/>
        </w:rPr>
      </w:pPr>
      <w:r>
        <w:rPr>
          <w:rFonts w:hint="eastAsia" w:ascii="宋体" w:hAnsi="宋体" w:cs="宋体"/>
          <w:kern w:val="0"/>
          <w:sz w:val="24"/>
          <w:szCs w:val="24"/>
        </w:rPr>
        <w:t>3、保证范围：</w:t>
      </w:r>
    </w:p>
    <w:p w14:paraId="75449DE2">
      <w:pPr>
        <w:numPr>
          <w:ilvl w:val="255"/>
          <w:numId w:val="0"/>
        </w:numPr>
        <w:autoSpaceDE w:val="0"/>
        <w:autoSpaceDN w:val="0"/>
        <w:adjustRightInd w:val="0"/>
        <w:spacing w:line="560" w:lineRule="exact"/>
        <w:ind w:firstLine="480"/>
        <w:jc w:val="left"/>
        <w:rPr>
          <w:rFonts w:ascii="宋体" w:hAnsi="宋体" w:cs="宋体"/>
          <w:kern w:val="0"/>
          <w:sz w:val="24"/>
          <w:szCs w:val="24"/>
        </w:rPr>
      </w:pPr>
      <w:r>
        <w:rPr>
          <w:rFonts w:hint="eastAsia" w:ascii="宋体" w:hAnsi="宋体" w:cs="宋体"/>
          <w:kern w:val="0"/>
          <w:sz w:val="24"/>
          <w:szCs w:val="24"/>
        </w:rPr>
        <w:t>（1）云变电气在主合同项下应向渤海银行昆明分行偿还或支付的敞口授信额度项下的债务本金、利息(包括但不限于法定利息、约定利息、逾期利息、罚息及复利)、手续费及其它收费、违约金、损害赔偿金、实现债权的费用(包括但不限于诉讼费用、律师费用、公证费用及执行费用等)和其它应付款项(无论该项支付是在主合同项下债务到期日应付或在其它情况下成为应付)；</w:t>
      </w:r>
    </w:p>
    <w:p w14:paraId="1A73E3B3">
      <w:pPr>
        <w:numPr>
          <w:ilvl w:val="255"/>
          <w:numId w:val="0"/>
        </w:numPr>
        <w:autoSpaceDE w:val="0"/>
        <w:autoSpaceDN w:val="0"/>
        <w:adjustRightInd w:val="0"/>
        <w:spacing w:line="560" w:lineRule="exact"/>
        <w:ind w:firstLine="480"/>
        <w:jc w:val="left"/>
        <w:rPr>
          <w:rFonts w:ascii="宋体" w:hAnsi="宋体" w:cs="宋体"/>
          <w:kern w:val="0"/>
          <w:sz w:val="24"/>
          <w:szCs w:val="24"/>
        </w:rPr>
      </w:pPr>
      <w:r>
        <w:rPr>
          <w:rFonts w:hint="eastAsia" w:ascii="宋体" w:hAnsi="宋体" w:cs="宋体"/>
          <w:kern w:val="0"/>
          <w:sz w:val="24"/>
          <w:szCs w:val="24"/>
        </w:rPr>
        <w:t>（2）渤海银行昆明分行为实现本协议项下的担保权益而发生的所有费用(包括但不限于诉讼费用、律师费用、公证费用及执行费用等)；</w:t>
      </w:r>
    </w:p>
    <w:p w14:paraId="3EE60E62">
      <w:pPr>
        <w:numPr>
          <w:ilvl w:val="255"/>
          <w:numId w:val="0"/>
        </w:numPr>
        <w:autoSpaceDE w:val="0"/>
        <w:autoSpaceDN w:val="0"/>
        <w:adjustRightInd w:val="0"/>
        <w:spacing w:line="560" w:lineRule="exact"/>
        <w:ind w:firstLine="480"/>
        <w:jc w:val="left"/>
        <w:rPr>
          <w:rFonts w:ascii="宋体" w:hAnsi="宋体" w:cs="宋体"/>
          <w:kern w:val="0"/>
          <w:sz w:val="24"/>
          <w:szCs w:val="24"/>
        </w:rPr>
      </w:pPr>
      <w:r>
        <w:rPr>
          <w:rFonts w:hint="eastAsia" w:ascii="宋体" w:hAnsi="宋体" w:cs="宋体"/>
          <w:kern w:val="0"/>
          <w:sz w:val="24"/>
          <w:szCs w:val="24"/>
        </w:rPr>
        <w:t>（3）望变电气在本协议项下应向渤海银行昆明分行支付的违约金和任何其他款项。</w:t>
      </w:r>
    </w:p>
    <w:p w14:paraId="0617B1C4">
      <w:pPr>
        <w:numPr>
          <w:ilvl w:val="255"/>
          <w:numId w:val="0"/>
        </w:numPr>
        <w:autoSpaceDE w:val="0"/>
        <w:autoSpaceDN w:val="0"/>
        <w:adjustRightInd w:val="0"/>
        <w:spacing w:line="560" w:lineRule="exact"/>
        <w:ind w:firstLine="480"/>
        <w:rPr>
          <w:rFonts w:ascii="宋体" w:hAnsi="宋体" w:cs="宋体"/>
          <w:kern w:val="0"/>
          <w:sz w:val="24"/>
          <w:szCs w:val="24"/>
        </w:rPr>
      </w:pPr>
      <w:r>
        <w:rPr>
          <w:rFonts w:hint="eastAsia" w:ascii="宋体" w:hAnsi="宋体" w:cs="宋体"/>
          <w:kern w:val="0"/>
          <w:sz w:val="24"/>
          <w:szCs w:val="24"/>
        </w:rPr>
        <w:t>4、保证期限：</w:t>
      </w:r>
    </w:p>
    <w:p w14:paraId="3574E0E6">
      <w:pPr>
        <w:widowControl/>
        <w:adjustRightInd w:val="0"/>
        <w:snapToGrid w:val="0"/>
        <w:spacing w:line="560" w:lineRule="exact"/>
        <w:ind w:firstLine="480" w:firstLineChars="200"/>
        <w:outlineLvl w:val="0"/>
        <w:rPr>
          <w:rFonts w:ascii="宋体" w:hAnsi="宋体" w:cs="宋体"/>
          <w:kern w:val="0"/>
          <w:sz w:val="24"/>
          <w:szCs w:val="24"/>
        </w:rPr>
      </w:pPr>
      <w:r>
        <w:rPr>
          <w:rFonts w:hint="eastAsia" w:ascii="宋体" w:hAnsi="宋体" w:cs="宋体"/>
          <w:kern w:val="0"/>
          <w:sz w:val="24"/>
          <w:szCs w:val="24"/>
        </w:rPr>
        <w:t>本协议项下的保证期间为主合同项下云变电气债务履行期限届满之日起三年。如主合同项下债务有不同的到期日，则望变电气的保证期间根据不同的到期日分别计算。本协议项下的债权确定期间为债权发生期间。</w:t>
      </w:r>
    </w:p>
    <w:p w14:paraId="106AB506">
      <w:pPr>
        <w:widowControl/>
        <w:adjustRightInd w:val="0"/>
        <w:snapToGrid w:val="0"/>
        <w:spacing w:line="560" w:lineRule="exact"/>
        <w:ind w:firstLine="480" w:firstLineChars="200"/>
        <w:outlineLvl w:val="0"/>
        <w:rPr>
          <w:rFonts w:ascii="宋体" w:hAnsi="宋体" w:cs="宋体"/>
          <w:kern w:val="0"/>
          <w:sz w:val="24"/>
          <w:szCs w:val="24"/>
        </w:rPr>
      </w:pPr>
      <w:r>
        <w:rPr>
          <w:rFonts w:hint="eastAsia" w:ascii="宋体" w:hAnsi="宋体" w:cs="宋体"/>
          <w:kern w:val="0"/>
          <w:sz w:val="24"/>
          <w:szCs w:val="24"/>
        </w:rPr>
        <w:t>（二）中国光大银行股份有限公司《最高额保证合同》</w:t>
      </w:r>
    </w:p>
    <w:p w14:paraId="05CBD258">
      <w:pPr>
        <w:pStyle w:val="9"/>
        <w:spacing w:beforeAutospacing="0" w:afterAutospacing="0" w:line="560" w:lineRule="exact"/>
        <w:ind w:firstLine="480" w:firstLineChars="200"/>
        <w:rPr>
          <w:rFonts w:ascii="宋体" w:hAnsi="宋体" w:cs="宋体"/>
          <w:szCs w:val="24"/>
        </w:rPr>
      </w:pPr>
      <w:r>
        <w:rPr>
          <w:rFonts w:hint="eastAsia" w:ascii="宋体" w:hAnsi="宋体" w:cs="宋体"/>
          <w:bCs/>
          <w:snapToGrid w:val="0"/>
          <w:szCs w:val="24"/>
        </w:rPr>
        <w:t>1、</w:t>
      </w:r>
      <w:r>
        <w:rPr>
          <w:rFonts w:hint="eastAsia" w:ascii="宋体" w:hAnsi="宋体" w:cs="宋体"/>
          <w:szCs w:val="24"/>
        </w:rPr>
        <w:t>保证人：重庆望变电气（集团）股份有限公司</w:t>
      </w:r>
    </w:p>
    <w:p w14:paraId="77511C0F">
      <w:pPr>
        <w:numPr>
          <w:ilvl w:val="255"/>
          <w:numId w:val="0"/>
        </w:numPr>
        <w:autoSpaceDE w:val="0"/>
        <w:autoSpaceDN w:val="0"/>
        <w:adjustRightInd w:val="0"/>
        <w:spacing w:line="560" w:lineRule="exact"/>
        <w:ind w:firstLine="480" w:firstLineChars="200"/>
        <w:rPr>
          <w:rFonts w:ascii="宋体" w:hAnsi="宋体" w:cs="宋体"/>
          <w:kern w:val="0"/>
          <w:sz w:val="24"/>
          <w:szCs w:val="24"/>
        </w:rPr>
      </w:pPr>
      <w:r>
        <w:rPr>
          <w:rFonts w:hint="eastAsia" w:ascii="宋体" w:hAnsi="宋体" w:cs="宋体"/>
          <w:kern w:val="0"/>
          <w:sz w:val="24"/>
          <w:szCs w:val="24"/>
        </w:rPr>
        <w:t>2、保证方式：连带责任保证</w:t>
      </w:r>
    </w:p>
    <w:p w14:paraId="7DAE5E16">
      <w:pPr>
        <w:numPr>
          <w:ilvl w:val="255"/>
          <w:numId w:val="0"/>
        </w:numPr>
        <w:autoSpaceDE w:val="0"/>
        <w:autoSpaceDN w:val="0"/>
        <w:adjustRightInd w:val="0"/>
        <w:spacing w:line="560" w:lineRule="exact"/>
        <w:ind w:firstLine="480" w:firstLineChars="200"/>
        <w:rPr>
          <w:rFonts w:ascii="宋体" w:hAnsi="宋体" w:cs="宋体"/>
          <w:kern w:val="0"/>
          <w:sz w:val="24"/>
          <w:szCs w:val="24"/>
        </w:rPr>
      </w:pPr>
      <w:r>
        <w:rPr>
          <w:rFonts w:hint="eastAsia" w:ascii="宋体" w:hAnsi="宋体" w:cs="宋体"/>
          <w:kern w:val="0"/>
          <w:sz w:val="24"/>
          <w:szCs w:val="24"/>
        </w:rPr>
        <w:t>3、保证范围：</w:t>
      </w:r>
    </w:p>
    <w:p w14:paraId="62AC178C">
      <w:pPr>
        <w:widowControl/>
        <w:adjustRightInd w:val="0"/>
        <w:snapToGrid w:val="0"/>
        <w:spacing w:line="560" w:lineRule="exact"/>
        <w:ind w:firstLine="480" w:firstLineChars="200"/>
        <w:outlineLvl w:val="0"/>
        <w:rPr>
          <w:rFonts w:ascii="宋体" w:hAnsi="宋体" w:cs="宋体"/>
          <w:kern w:val="0"/>
          <w:sz w:val="24"/>
          <w:szCs w:val="24"/>
        </w:rPr>
      </w:pPr>
      <w:r>
        <w:rPr>
          <w:rFonts w:hint="eastAsia" w:ascii="宋体" w:hAnsi="宋体" w:cs="宋体"/>
          <w:kern w:val="0"/>
          <w:sz w:val="24"/>
          <w:szCs w:val="24"/>
        </w:rPr>
        <w:t>（1）本合同项下担保的范围包括:惠泽电器在主合同项下应向</w:t>
      </w:r>
      <w:r>
        <w:rPr>
          <w:rFonts w:hint="eastAsia" w:asciiTheme="minorEastAsia" w:hAnsiTheme="minorEastAsia" w:cstheme="minorEastAsia"/>
          <w:sz w:val="24"/>
          <w:szCs w:val="24"/>
        </w:rPr>
        <w:t>光大银行重庆分行</w:t>
      </w:r>
      <w:r>
        <w:rPr>
          <w:rFonts w:hint="eastAsia" w:ascii="宋体" w:hAnsi="宋体" w:cs="宋体"/>
          <w:kern w:val="0"/>
          <w:sz w:val="24"/>
          <w:szCs w:val="24"/>
        </w:rPr>
        <w:t>偿还或支付的债务本金、利息(包括法定利息、约定利息及罚息)、复利、违约金、损害赔偿金、实现债权的费用(包括但不限于诉讼/仲裁费用、律师费用、保全费用、鉴定费用、差旅费用、公证费用、执行费用等)和所有其他应付的费用、款项(以上各项合称为“被担保债务”)。</w:t>
      </w:r>
    </w:p>
    <w:p w14:paraId="360BD65D">
      <w:pPr>
        <w:widowControl/>
        <w:adjustRightInd w:val="0"/>
        <w:snapToGrid w:val="0"/>
        <w:spacing w:line="560" w:lineRule="exact"/>
        <w:ind w:firstLine="480" w:firstLineChars="200"/>
        <w:outlineLvl w:val="0"/>
        <w:rPr>
          <w:rFonts w:ascii="宋体" w:hAnsi="宋体" w:cs="宋体"/>
          <w:kern w:val="0"/>
          <w:sz w:val="24"/>
          <w:szCs w:val="24"/>
        </w:rPr>
      </w:pPr>
      <w:r>
        <w:rPr>
          <w:rFonts w:hint="eastAsia" w:ascii="宋体" w:hAnsi="宋体" w:cs="宋体"/>
          <w:kern w:val="0"/>
          <w:sz w:val="24"/>
          <w:szCs w:val="24"/>
        </w:rPr>
        <w:t>（2）光大银行重庆分行用于表明任何被担保债务或本合同项下任何应付款项的证明，除非有明显错误，应是双方债权债务关系的最终证据，对望变电气具有约束力。</w:t>
      </w:r>
    </w:p>
    <w:p w14:paraId="57CDCACC">
      <w:pPr>
        <w:numPr>
          <w:ilvl w:val="255"/>
          <w:numId w:val="0"/>
        </w:numPr>
        <w:autoSpaceDE w:val="0"/>
        <w:autoSpaceDN w:val="0"/>
        <w:adjustRightInd w:val="0"/>
        <w:spacing w:line="560" w:lineRule="exact"/>
        <w:ind w:firstLine="480"/>
        <w:rPr>
          <w:rFonts w:ascii="宋体" w:hAnsi="宋体" w:cs="宋体"/>
          <w:kern w:val="0"/>
          <w:sz w:val="24"/>
          <w:szCs w:val="24"/>
        </w:rPr>
      </w:pPr>
      <w:r>
        <w:rPr>
          <w:rFonts w:hint="eastAsia" w:ascii="宋体" w:hAnsi="宋体" w:cs="宋体"/>
          <w:kern w:val="0"/>
          <w:sz w:val="24"/>
          <w:szCs w:val="24"/>
        </w:rPr>
        <w:t>4、保证期限：</w:t>
      </w:r>
    </w:p>
    <w:p w14:paraId="3B720B3D">
      <w:pPr>
        <w:widowControl/>
        <w:adjustRightInd w:val="0"/>
        <w:snapToGrid w:val="0"/>
        <w:spacing w:line="560" w:lineRule="exact"/>
        <w:ind w:firstLine="480" w:firstLineChars="200"/>
        <w:outlineLvl w:val="0"/>
        <w:rPr>
          <w:rFonts w:ascii="宋体" w:hAnsi="宋体" w:cs="宋体"/>
          <w:kern w:val="0"/>
          <w:sz w:val="24"/>
          <w:szCs w:val="24"/>
        </w:rPr>
      </w:pPr>
      <w:r>
        <w:rPr>
          <w:rFonts w:hint="eastAsia" w:ascii="宋体" w:hAnsi="宋体" w:cs="宋体"/>
          <w:kern w:val="0"/>
          <w:sz w:val="24"/>
          <w:szCs w:val="24"/>
        </w:rPr>
        <w:t>《综合授信协议》项下的每一笔具体授信业务的保证期间单独计算，为自具体授信业务合同或协议约定的惠泽电器履行债务期限届满之日起三年。如因法律规定或具体授信业务合同或协议约定的事件发生而导致债务提前到期,保证期间为债务提前到期日起三年。望变电气同意债务展期的，保证期间为展期协议重新约定的债务履行期限届满之日起三年。如具体授信业务合同或协议项下债务分期履行，则对每期债务而言，保证期间均为最后一期债务履行期限届满之日起三年。</w:t>
      </w:r>
    </w:p>
    <w:p w14:paraId="658595F3">
      <w:pPr>
        <w:widowControl/>
        <w:adjustRightInd w:val="0"/>
        <w:snapToGrid w:val="0"/>
        <w:spacing w:line="560" w:lineRule="exact"/>
        <w:ind w:firstLine="562" w:firstLineChars="200"/>
        <w:outlineLvl w:val="0"/>
        <w:rPr>
          <w:rFonts w:asciiTheme="minorEastAsia" w:hAnsiTheme="minorEastAsia" w:cstheme="minorEastAsia"/>
          <w:b/>
          <w:bCs/>
          <w:sz w:val="28"/>
          <w:szCs w:val="28"/>
        </w:rPr>
      </w:pPr>
      <w:r>
        <w:rPr>
          <w:rFonts w:hint="eastAsia" w:asciiTheme="minorEastAsia" w:hAnsiTheme="minorEastAsia" w:cstheme="minorEastAsia"/>
          <w:b/>
          <w:bCs/>
          <w:sz w:val="28"/>
          <w:szCs w:val="28"/>
        </w:rPr>
        <w:t>三、担保的必要性和合理性</w:t>
      </w:r>
    </w:p>
    <w:p w14:paraId="41B94172">
      <w:pPr>
        <w:widowControl/>
        <w:adjustRightInd w:val="0"/>
        <w:snapToGrid w:val="0"/>
        <w:spacing w:line="560" w:lineRule="exact"/>
        <w:ind w:firstLine="480" w:firstLineChars="200"/>
        <w:jc w:val="left"/>
        <w:rPr>
          <w:rFonts w:asciiTheme="minorEastAsia" w:hAnsiTheme="minorEastAsia" w:cstheme="minorEastAsia"/>
          <w:color w:val="000000"/>
          <w:kern w:val="0"/>
          <w:sz w:val="24"/>
          <w:szCs w:val="24"/>
        </w:rPr>
      </w:pPr>
      <w:r>
        <w:rPr>
          <w:rFonts w:hint="eastAsia" w:asciiTheme="minorEastAsia" w:hAnsiTheme="minorEastAsia" w:cstheme="minorEastAsia"/>
          <w:color w:val="000000"/>
          <w:kern w:val="0"/>
          <w:sz w:val="24"/>
          <w:szCs w:val="24"/>
        </w:rPr>
        <w:t>公司本月新增的对外担保主要为满足子公司日常生产经营需要，保证其生产经营活动的顺利开展，符合公司实际经营情况和整体发展战略，具有必要性和合理性。被担保对象为公司全资子公司，公司对其日常经营活动和资信状况能够及时掌握，担保风险总体可控，不会对公司及股东特别是中小股东利益造成重大不利影响。</w:t>
      </w:r>
    </w:p>
    <w:p w14:paraId="3B1F2497">
      <w:pPr>
        <w:widowControl/>
        <w:numPr>
          <w:ilvl w:val="0"/>
          <w:numId w:val="2"/>
        </w:numPr>
        <w:adjustRightInd w:val="0"/>
        <w:snapToGrid w:val="0"/>
        <w:spacing w:line="560" w:lineRule="exact"/>
        <w:ind w:firstLine="562" w:firstLineChars="200"/>
        <w:jc w:val="left"/>
        <w:outlineLvl w:val="0"/>
        <w:rPr>
          <w:rFonts w:asciiTheme="minorEastAsia" w:hAnsiTheme="minorEastAsia" w:cstheme="minorEastAsia"/>
          <w:b/>
          <w:bCs/>
          <w:sz w:val="28"/>
          <w:szCs w:val="28"/>
        </w:rPr>
      </w:pPr>
      <w:r>
        <w:rPr>
          <w:rFonts w:hint="eastAsia" w:asciiTheme="minorEastAsia" w:hAnsiTheme="minorEastAsia" w:cstheme="minorEastAsia"/>
          <w:b/>
          <w:bCs/>
          <w:sz w:val="28"/>
          <w:szCs w:val="28"/>
        </w:rPr>
        <w:t>董事会意见</w:t>
      </w:r>
    </w:p>
    <w:p w14:paraId="3281E74F">
      <w:pPr>
        <w:widowControl/>
        <w:adjustRightInd w:val="0"/>
        <w:snapToGrid w:val="0"/>
        <w:spacing w:line="560" w:lineRule="exact"/>
        <w:ind w:firstLine="480" w:firstLineChars="200"/>
        <w:jc w:val="left"/>
        <w:rPr>
          <w:sz w:val="24"/>
          <w:szCs w:val="24"/>
        </w:rPr>
      </w:pPr>
      <w:r>
        <w:rPr>
          <w:rFonts w:hint="eastAsia" w:asciiTheme="minorEastAsia" w:hAnsiTheme="minorEastAsia" w:cstheme="minorEastAsia"/>
          <w:sz w:val="24"/>
          <w:szCs w:val="24"/>
        </w:rPr>
        <w:t>上述担保事项属于公司2024年第三次临时股东会授权范围并在有效期内，无需再次提交公司董事会、股东会审议。</w:t>
      </w:r>
    </w:p>
    <w:p w14:paraId="0A1B5923">
      <w:pPr>
        <w:widowControl/>
        <w:numPr>
          <w:ilvl w:val="0"/>
          <w:numId w:val="2"/>
        </w:numPr>
        <w:adjustRightInd w:val="0"/>
        <w:snapToGrid w:val="0"/>
        <w:spacing w:line="560" w:lineRule="exact"/>
        <w:ind w:firstLine="562" w:firstLineChars="200"/>
        <w:jc w:val="left"/>
        <w:outlineLvl w:val="0"/>
        <w:rPr>
          <w:rFonts w:asciiTheme="minorEastAsia" w:hAnsiTheme="minorEastAsia" w:cstheme="minorEastAsia"/>
          <w:b/>
          <w:bCs/>
          <w:sz w:val="28"/>
          <w:szCs w:val="28"/>
        </w:rPr>
      </w:pPr>
      <w:r>
        <w:rPr>
          <w:rFonts w:hint="eastAsia" w:asciiTheme="minorEastAsia" w:hAnsiTheme="minorEastAsia" w:cstheme="minorEastAsia"/>
          <w:b/>
          <w:bCs/>
          <w:sz w:val="28"/>
          <w:szCs w:val="28"/>
        </w:rPr>
        <w:t>累计对外担保数量及逾期担保的数量</w:t>
      </w:r>
    </w:p>
    <w:p w14:paraId="1E47E60B">
      <w:pPr>
        <w:autoSpaceDE w:val="0"/>
        <w:autoSpaceDN w:val="0"/>
        <w:adjustRightInd w:val="0"/>
        <w:spacing w:before="156" w:beforeLines="50" w:line="360" w:lineRule="auto"/>
        <w:ind w:firstLine="480" w:firstLineChars="200"/>
        <w:rPr>
          <w:rFonts w:ascii="宋体" w:hAnsi="宋体" w:cs="宋体"/>
          <w:bCs/>
          <w:sz w:val="24"/>
          <w:szCs w:val="24"/>
        </w:rPr>
      </w:pPr>
      <w:r>
        <w:rPr>
          <w:rFonts w:hint="eastAsia" w:ascii="宋体" w:hAnsi="宋体" w:cs="宋体"/>
          <w:bCs/>
          <w:sz w:val="24"/>
          <w:szCs w:val="24"/>
        </w:rPr>
        <w:t>截至2025年</w:t>
      </w:r>
      <w:r>
        <w:rPr>
          <w:rFonts w:ascii="宋体" w:hAnsi="宋体" w:cs="宋体"/>
          <w:bCs/>
          <w:sz w:val="24"/>
          <w:szCs w:val="24"/>
        </w:rPr>
        <w:t>9</w:t>
      </w:r>
      <w:r>
        <w:rPr>
          <w:rFonts w:hint="eastAsia" w:ascii="宋体" w:hAnsi="宋体" w:cs="宋体"/>
          <w:bCs/>
          <w:sz w:val="24"/>
          <w:szCs w:val="24"/>
        </w:rPr>
        <w:t>月末，公司对外担保均为对子公司的担保，累计担保总额为</w:t>
      </w:r>
      <w:r>
        <w:rPr>
          <w:rFonts w:ascii="宋体" w:hAnsi="宋体" w:cs="宋体"/>
          <w:bCs/>
          <w:sz w:val="24"/>
          <w:szCs w:val="24"/>
        </w:rPr>
        <w:t>105</w:t>
      </w:r>
      <w:r>
        <w:rPr>
          <w:rFonts w:hint="eastAsia" w:ascii="宋体" w:hAnsi="宋体" w:cs="宋体"/>
          <w:bCs/>
          <w:sz w:val="24"/>
          <w:szCs w:val="24"/>
        </w:rPr>
        <w:t>,</w:t>
      </w:r>
      <w:r>
        <w:rPr>
          <w:rFonts w:ascii="宋体" w:hAnsi="宋体" w:cs="宋体"/>
          <w:bCs/>
          <w:sz w:val="24"/>
          <w:szCs w:val="24"/>
        </w:rPr>
        <w:t>674.10</w:t>
      </w:r>
      <w:r>
        <w:rPr>
          <w:rFonts w:hint="eastAsia" w:ascii="宋体" w:hAnsi="宋体" w:cs="宋体"/>
          <w:bCs/>
          <w:sz w:val="24"/>
          <w:szCs w:val="24"/>
        </w:rPr>
        <w:t>万元，担保余额为</w:t>
      </w:r>
      <w:r>
        <w:rPr>
          <w:rFonts w:ascii="宋体" w:hAnsi="宋体" w:cs="宋体"/>
          <w:bCs/>
          <w:sz w:val="24"/>
          <w:szCs w:val="24"/>
        </w:rPr>
        <w:t>61,416.94</w:t>
      </w:r>
      <w:r>
        <w:rPr>
          <w:rFonts w:hint="eastAsia" w:ascii="宋体" w:hAnsi="宋体" w:cs="宋体"/>
          <w:bCs/>
          <w:sz w:val="24"/>
          <w:szCs w:val="24"/>
        </w:rPr>
        <w:t>元，担保总额占公司最近一期经审计净资产的</w:t>
      </w:r>
      <w:r>
        <w:rPr>
          <w:rFonts w:ascii="宋体" w:hAnsi="宋体" w:cs="宋体"/>
          <w:bCs/>
          <w:sz w:val="24"/>
          <w:szCs w:val="24"/>
        </w:rPr>
        <w:t>43.79</w:t>
      </w:r>
      <w:r>
        <w:rPr>
          <w:rFonts w:hint="eastAsia" w:ascii="宋体" w:hAnsi="宋体" w:cs="宋体"/>
          <w:bCs/>
          <w:sz w:val="24"/>
          <w:szCs w:val="24"/>
        </w:rPr>
        <w:t>%，担保余额占公司最近一期经审计净资产的</w:t>
      </w:r>
      <w:r>
        <w:rPr>
          <w:rFonts w:ascii="宋体" w:hAnsi="宋体" w:cs="宋体"/>
          <w:bCs/>
          <w:sz w:val="24"/>
          <w:szCs w:val="24"/>
        </w:rPr>
        <w:t>25.45</w:t>
      </w:r>
      <w:r>
        <w:rPr>
          <w:rFonts w:hint="eastAsia" w:ascii="宋体" w:hAnsi="宋体" w:cs="宋体"/>
          <w:bCs/>
          <w:sz w:val="24"/>
          <w:szCs w:val="24"/>
        </w:rPr>
        <w:t>%；不存在逾期担保。</w:t>
      </w:r>
    </w:p>
    <w:p w14:paraId="3DC7205B">
      <w:pPr>
        <w:autoSpaceDE w:val="0"/>
        <w:autoSpaceDN w:val="0"/>
        <w:adjustRightInd w:val="0"/>
        <w:spacing w:before="156" w:beforeLines="50" w:line="360" w:lineRule="auto"/>
        <w:ind w:firstLine="480" w:firstLineChars="200"/>
        <w:rPr>
          <w:rFonts w:ascii="宋体" w:hAnsi="宋体" w:cs="宋体"/>
          <w:bCs/>
          <w:sz w:val="24"/>
          <w:szCs w:val="24"/>
        </w:rPr>
      </w:pPr>
      <w:r>
        <w:rPr>
          <w:rFonts w:hint="eastAsia" w:ascii="宋体" w:hAnsi="宋体" w:cs="宋体"/>
          <w:bCs/>
          <w:sz w:val="24"/>
          <w:szCs w:val="24"/>
        </w:rPr>
        <w:t>截至2025年</w:t>
      </w:r>
      <w:r>
        <w:rPr>
          <w:rFonts w:ascii="宋体" w:hAnsi="宋体" w:cs="宋体"/>
          <w:bCs/>
          <w:sz w:val="24"/>
          <w:szCs w:val="24"/>
        </w:rPr>
        <w:t>9</w:t>
      </w:r>
      <w:r>
        <w:rPr>
          <w:rFonts w:hint="eastAsia" w:ascii="宋体" w:hAnsi="宋体" w:cs="宋体"/>
          <w:bCs/>
          <w:sz w:val="24"/>
          <w:szCs w:val="24"/>
        </w:rPr>
        <w:t>月末，公司及子公司可用担保额度为</w:t>
      </w:r>
      <w:r>
        <w:rPr>
          <w:rFonts w:ascii="宋体" w:hAnsi="宋体" w:cs="宋体"/>
          <w:bCs/>
          <w:sz w:val="24"/>
          <w:szCs w:val="24"/>
        </w:rPr>
        <w:t>68,825.90</w:t>
      </w:r>
      <w:r>
        <w:rPr>
          <w:rFonts w:hint="eastAsia" w:ascii="宋体" w:hAnsi="宋体" w:cs="宋体"/>
          <w:bCs/>
          <w:sz w:val="24"/>
          <w:szCs w:val="24"/>
        </w:rPr>
        <w:t>万元（包含惠泽电器</w:t>
      </w:r>
      <w:r>
        <w:rPr>
          <w:rFonts w:ascii="宋体" w:hAnsi="宋体" w:cs="宋体"/>
          <w:bCs/>
          <w:sz w:val="24"/>
          <w:szCs w:val="24"/>
        </w:rPr>
        <w:t>9</w:t>
      </w:r>
      <w:r>
        <w:rPr>
          <w:rFonts w:hint="eastAsia" w:ascii="宋体" w:hAnsi="宋体" w:cs="宋体"/>
          <w:bCs/>
          <w:sz w:val="24"/>
          <w:szCs w:val="24"/>
        </w:rPr>
        <w:t>,000.00万元、黔南望江17,000.00万元和云变电气</w:t>
      </w:r>
      <w:r>
        <w:rPr>
          <w:rFonts w:ascii="宋体" w:hAnsi="宋体" w:cs="宋体"/>
          <w:bCs/>
          <w:sz w:val="24"/>
          <w:szCs w:val="24"/>
        </w:rPr>
        <w:t>42,825.90</w:t>
      </w:r>
      <w:r>
        <w:rPr>
          <w:rFonts w:hint="eastAsia" w:ascii="宋体" w:hAnsi="宋体" w:cs="宋体"/>
          <w:bCs/>
          <w:sz w:val="24"/>
          <w:szCs w:val="24"/>
        </w:rPr>
        <w:t>万元），均为经公司2024年第三次临时股东会会议审议通过的2025年度担保额度。</w:t>
      </w:r>
    </w:p>
    <w:p w14:paraId="4ECF296E">
      <w:pPr>
        <w:adjustRightInd w:val="0"/>
        <w:snapToGrid w:val="0"/>
        <w:spacing w:line="360" w:lineRule="auto"/>
        <w:rPr>
          <w:rFonts w:asciiTheme="minorEastAsia" w:hAnsiTheme="minorEastAsia"/>
          <w:bCs/>
          <w:sz w:val="24"/>
          <w:szCs w:val="24"/>
        </w:rPr>
      </w:pPr>
    </w:p>
    <w:p w14:paraId="7C7538B3">
      <w:pPr>
        <w:adjustRightInd w:val="0"/>
        <w:snapToGrid w:val="0"/>
        <w:spacing w:line="360" w:lineRule="auto"/>
        <w:ind w:firstLine="480" w:firstLineChars="200"/>
        <w:rPr>
          <w:rFonts w:asciiTheme="minorEastAsia" w:hAnsiTheme="minorEastAsia"/>
          <w:bCs/>
          <w:sz w:val="24"/>
          <w:szCs w:val="24"/>
        </w:rPr>
      </w:pPr>
      <w:r>
        <w:rPr>
          <w:rFonts w:hint="eastAsia" w:asciiTheme="minorEastAsia" w:hAnsiTheme="minorEastAsia"/>
          <w:bCs/>
          <w:sz w:val="24"/>
          <w:szCs w:val="24"/>
        </w:rPr>
        <w:t>特此公告。</w:t>
      </w:r>
    </w:p>
    <w:p w14:paraId="380D1FC4">
      <w:pPr>
        <w:adjustRightInd w:val="0"/>
        <w:snapToGrid w:val="0"/>
        <w:spacing w:line="360" w:lineRule="auto"/>
        <w:rPr>
          <w:rFonts w:asciiTheme="minorEastAsia" w:hAnsiTheme="minorEastAsia"/>
          <w:bCs/>
          <w:sz w:val="24"/>
          <w:szCs w:val="24"/>
        </w:rPr>
      </w:pPr>
    </w:p>
    <w:p w14:paraId="6A887C0A">
      <w:pPr>
        <w:adjustRightInd w:val="0"/>
        <w:snapToGrid w:val="0"/>
        <w:spacing w:line="360" w:lineRule="auto"/>
        <w:rPr>
          <w:rFonts w:asciiTheme="minorEastAsia" w:hAnsiTheme="minorEastAsia"/>
          <w:bCs/>
          <w:sz w:val="24"/>
          <w:szCs w:val="24"/>
        </w:rPr>
      </w:pPr>
    </w:p>
    <w:p w14:paraId="110B83AC">
      <w:pPr>
        <w:adjustRightInd w:val="0"/>
        <w:snapToGrid w:val="0"/>
        <w:spacing w:line="360" w:lineRule="auto"/>
        <w:jc w:val="right"/>
        <w:rPr>
          <w:rFonts w:asciiTheme="minorEastAsia" w:hAnsiTheme="minorEastAsia"/>
          <w:bCs/>
          <w:sz w:val="24"/>
          <w:szCs w:val="24"/>
        </w:rPr>
      </w:pPr>
      <w:r>
        <w:rPr>
          <w:rFonts w:hint="eastAsia" w:asciiTheme="minorEastAsia" w:hAnsiTheme="minorEastAsia"/>
          <w:bCs/>
          <w:sz w:val="24"/>
          <w:szCs w:val="24"/>
        </w:rPr>
        <w:t>重庆望变电气（集团）股份有限公司董事会</w:t>
      </w:r>
    </w:p>
    <w:p w14:paraId="1376CADD">
      <w:pPr>
        <w:adjustRightInd w:val="0"/>
        <w:snapToGrid w:val="0"/>
        <w:spacing w:line="360" w:lineRule="auto"/>
        <w:jc w:val="right"/>
        <w:rPr>
          <w:rFonts w:asciiTheme="minorEastAsia" w:hAnsiTheme="minorEastAsia"/>
          <w:b/>
          <w:sz w:val="24"/>
          <w:szCs w:val="24"/>
        </w:rPr>
      </w:pPr>
      <w:r>
        <w:rPr>
          <w:rFonts w:hint="eastAsia" w:asciiTheme="minorEastAsia" w:hAnsiTheme="minorEastAsia"/>
          <w:bCs/>
          <w:sz w:val="24"/>
          <w:szCs w:val="24"/>
        </w:rPr>
        <w:t>2025年</w:t>
      </w:r>
      <w:r>
        <w:rPr>
          <w:rFonts w:asciiTheme="minorEastAsia" w:hAnsiTheme="minorEastAsia"/>
          <w:bCs/>
          <w:sz w:val="24"/>
          <w:szCs w:val="24"/>
        </w:rPr>
        <w:t>10</w:t>
      </w:r>
      <w:r>
        <w:rPr>
          <w:rFonts w:hint="eastAsia" w:asciiTheme="minorEastAsia" w:hAnsiTheme="minorEastAsia"/>
          <w:bCs/>
          <w:sz w:val="24"/>
          <w:szCs w:val="24"/>
        </w:rPr>
        <w:t>月1</w:t>
      </w:r>
      <w:r>
        <w:rPr>
          <w:rFonts w:hint="eastAsia" w:asciiTheme="minorEastAsia" w:hAnsiTheme="minorEastAsia"/>
          <w:bCs/>
          <w:sz w:val="24"/>
          <w:szCs w:val="24"/>
          <w:lang w:val="en-US" w:eastAsia="zh-CN"/>
        </w:rPr>
        <w:t>1</w:t>
      </w:r>
      <w:bookmarkStart w:id="5" w:name="_GoBack"/>
      <w:bookmarkEnd w:id="5"/>
      <w:r>
        <w:rPr>
          <w:rFonts w:hint="eastAsia" w:asciiTheme="minorEastAsia" w:hAnsiTheme="minorEastAsia"/>
          <w:bCs/>
          <w:sz w:val="24"/>
          <w:szCs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E041D5"/>
    <w:multiLevelType w:val="multilevel"/>
    <w:tmpl w:val="00E041D5"/>
    <w:lvl w:ilvl="0" w:tentative="0">
      <w:start w:val="1"/>
      <w:numFmt w:val="japaneseCounting"/>
      <w:lvlText w:val="（%1）"/>
      <w:lvlJc w:val="left"/>
      <w:pPr>
        <w:ind w:left="1200" w:hanging="720"/>
      </w:pPr>
      <w:rPr>
        <w:rFonts w:hint="default"/>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
    <w:nsid w:val="168B4FAA"/>
    <w:multiLevelType w:val="singleLevel"/>
    <w:tmpl w:val="168B4FAA"/>
    <w:lvl w:ilvl="0" w:tentative="0">
      <w:start w:val="1"/>
      <w:numFmt w:val="bullet"/>
      <w:lvlText w:val=""/>
      <w:lvlJc w:val="left"/>
      <w:pPr>
        <w:ind w:left="420" w:hanging="420"/>
      </w:pPr>
      <w:rPr>
        <w:rFonts w:hint="default" w:ascii="Wingdings" w:hAnsi="Wingdings"/>
      </w:rPr>
    </w:lvl>
  </w:abstractNum>
  <w:abstractNum w:abstractNumId="2">
    <w:nsid w:val="52EA2A72"/>
    <w:multiLevelType w:val="singleLevel"/>
    <w:tmpl w:val="52EA2A72"/>
    <w:lvl w:ilvl="0" w:tentative="0">
      <w:start w:val="1"/>
      <w:numFmt w:val="chineseCounting"/>
      <w:suff w:val="nothing"/>
      <w:lvlText w:val="%1、"/>
      <w:lvlJc w:val="left"/>
      <w:rPr>
        <w:rFonts w:hint="eastAsia"/>
      </w:rPr>
    </w:lvl>
  </w:abstractNum>
  <w:abstractNum w:abstractNumId="3">
    <w:nsid w:val="580E64DF"/>
    <w:multiLevelType w:val="multilevel"/>
    <w:tmpl w:val="580E64DF"/>
    <w:lvl w:ilvl="0" w:tentative="0">
      <w:start w:val="1"/>
      <w:numFmt w:val="japaneseCounting"/>
      <w:lvlText w:val="（%1）"/>
      <w:lvlJc w:val="left"/>
      <w:pPr>
        <w:ind w:left="1200" w:hanging="720"/>
      </w:pPr>
      <w:rPr>
        <w:rFonts w:hint="default"/>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attachedTemplate r:id="rId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isclosure_Version" w:val="true"/>
  </w:docVars>
  <w:rsids>
    <w:rsidRoot w:val="008C5DB8"/>
    <w:rsid w:val="00004EF0"/>
    <w:rsid w:val="0000622B"/>
    <w:rsid w:val="00007894"/>
    <w:rsid w:val="00011B58"/>
    <w:rsid w:val="00011D6B"/>
    <w:rsid w:val="00011E7C"/>
    <w:rsid w:val="000134A9"/>
    <w:rsid w:val="00013C7A"/>
    <w:rsid w:val="00014DAA"/>
    <w:rsid w:val="0001513D"/>
    <w:rsid w:val="00015213"/>
    <w:rsid w:val="00016A68"/>
    <w:rsid w:val="000209EB"/>
    <w:rsid w:val="00023FE2"/>
    <w:rsid w:val="00024791"/>
    <w:rsid w:val="00024B0F"/>
    <w:rsid w:val="000316A0"/>
    <w:rsid w:val="000316DE"/>
    <w:rsid w:val="000320FF"/>
    <w:rsid w:val="00036E39"/>
    <w:rsid w:val="000415E2"/>
    <w:rsid w:val="00041AFF"/>
    <w:rsid w:val="00041B70"/>
    <w:rsid w:val="00046446"/>
    <w:rsid w:val="0005296D"/>
    <w:rsid w:val="0005330F"/>
    <w:rsid w:val="000552DE"/>
    <w:rsid w:val="00055BB1"/>
    <w:rsid w:val="00055D12"/>
    <w:rsid w:val="0005649D"/>
    <w:rsid w:val="00057954"/>
    <w:rsid w:val="00057AAF"/>
    <w:rsid w:val="0006154D"/>
    <w:rsid w:val="0006356A"/>
    <w:rsid w:val="00064281"/>
    <w:rsid w:val="000657A0"/>
    <w:rsid w:val="00071209"/>
    <w:rsid w:val="00071335"/>
    <w:rsid w:val="00071DCE"/>
    <w:rsid w:val="00071DFD"/>
    <w:rsid w:val="00071EFB"/>
    <w:rsid w:val="0007584E"/>
    <w:rsid w:val="0007700C"/>
    <w:rsid w:val="00083DB8"/>
    <w:rsid w:val="000843BF"/>
    <w:rsid w:val="000847A8"/>
    <w:rsid w:val="0008599D"/>
    <w:rsid w:val="0008617F"/>
    <w:rsid w:val="00091B04"/>
    <w:rsid w:val="00091E1F"/>
    <w:rsid w:val="00093210"/>
    <w:rsid w:val="00093A5E"/>
    <w:rsid w:val="00094CDA"/>
    <w:rsid w:val="00095035"/>
    <w:rsid w:val="0009529B"/>
    <w:rsid w:val="0009688B"/>
    <w:rsid w:val="00097314"/>
    <w:rsid w:val="000A0447"/>
    <w:rsid w:val="000A0B83"/>
    <w:rsid w:val="000A0BA2"/>
    <w:rsid w:val="000A2CC0"/>
    <w:rsid w:val="000A2F81"/>
    <w:rsid w:val="000A3309"/>
    <w:rsid w:val="000A5346"/>
    <w:rsid w:val="000A581B"/>
    <w:rsid w:val="000A777E"/>
    <w:rsid w:val="000A779D"/>
    <w:rsid w:val="000B1C0F"/>
    <w:rsid w:val="000B26F4"/>
    <w:rsid w:val="000B5402"/>
    <w:rsid w:val="000B61DD"/>
    <w:rsid w:val="000B6EFB"/>
    <w:rsid w:val="000C126A"/>
    <w:rsid w:val="000C1CD5"/>
    <w:rsid w:val="000C26F1"/>
    <w:rsid w:val="000C2BA7"/>
    <w:rsid w:val="000C4D9C"/>
    <w:rsid w:val="000C4F6E"/>
    <w:rsid w:val="000D0554"/>
    <w:rsid w:val="000D408E"/>
    <w:rsid w:val="000D4135"/>
    <w:rsid w:val="000D46D2"/>
    <w:rsid w:val="000D70E1"/>
    <w:rsid w:val="000D71C2"/>
    <w:rsid w:val="000E2BD7"/>
    <w:rsid w:val="000E4C4B"/>
    <w:rsid w:val="000E5CEE"/>
    <w:rsid w:val="000E5D69"/>
    <w:rsid w:val="000E65BF"/>
    <w:rsid w:val="000F2FE3"/>
    <w:rsid w:val="000F32A6"/>
    <w:rsid w:val="000F39F7"/>
    <w:rsid w:val="000F4243"/>
    <w:rsid w:val="00102EE0"/>
    <w:rsid w:val="00105374"/>
    <w:rsid w:val="00110400"/>
    <w:rsid w:val="00110C53"/>
    <w:rsid w:val="00110FD3"/>
    <w:rsid w:val="00111FD6"/>
    <w:rsid w:val="00117BC7"/>
    <w:rsid w:val="00120E15"/>
    <w:rsid w:val="001211A0"/>
    <w:rsid w:val="00123A27"/>
    <w:rsid w:val="0013329D"/>
    <w:rsid w:val="001345D6"/>
    <w:rsid w:val="00135412"/>
    <w:rsid w:val="00136B4D"/>
    <w:rsid w:val="00142572"/>
    <w:rsid w:val="00142BE7"/>
    <w:rsid w:val="00144A2D"/>
    <w:rsid w:val="00145904"/>
    <w:rsid w:val="00145AE4"/>
    <w:rsid w:val="00146AE6"/>
    <w:rsid w:val="00147BA3"/>
    <w:rsid w:val="001509BD"/>
    <w:rsid w:val="00153D9F"/>
    <w:rsid w:val="00154ECD"/>
    <w:rsid w:val="00154F63"/>
    <w:rsid w:val="00157662"/>
    <w:rsid w:val="0016101B"/>
    <w:rsid w:val="001627BA"/>
    <w:rsid w:val="001635C5"/>
    <w:rsid w:val="001656ED"/>
    <w:rsid w:val="001745A0"/>
    <w:rsid w:val="00174FAC"/>
    <w:rsid w:val="001763D0"/>
    <w:rsid w:val="00183AD3"/>
    <w:rsid w:val="001868A3"/>
    <w:rsid w:val="00186AC7"/>
    <w:rsid w:val="0019044B"/>
    <w:rsid w:val="00191AE4"/>
    <w:rsid w:val="00192312"/>
    <w:rsid w:val="00192FA9"/>
    <w:rsid w:val="001953C1"/>
    <w:rsid w:val="00196816"/>
    <w:rsid w:val="001A2E2D"/>
    <w:rsid w:val="001A3084"/>
    <w:rsid w:val="001A41D6"/>
    <w:rsid w:val="001A4B40"/>
    <w:rsid w:val="001A5AD2"/>
    <w:rsid w:val="001A6EA4"/>
    <w:rsid w:val="001B0753"/>
    <w:rsid w:val="001B0861"/>
    <w:rsid w:val="001B0FAE"/>
    <w:rsid w:val="001B11FC"/>
    <w:rsid w:val="001B3894"/>
    <w:rsid w:val="001B39F3"/>
    <w:rsid w:val="001C0B03"/>
    <w:rsid w:val="001C1F7E"/>
    <w:rsid w:val="001C2826"/>
    <w:rsid w:val="001C2A00"/>
    <w:rsid w:val="001C3E4D"/>
    <w:rsid w:val="001C3E6D"/>
    <w:rsid w:val="001C61C9"/>
    <w:rsid w:val="001C6DB0"/>
    <w:rsid w:val="001D05A4"/>
    <w:rsid w:val="001D091E"/>
    <w:rsid w:val="001D157D"/>
    <w:rsid w:val="001D269D"/>
    <w:rsid w:val="001D5AFC"/>
    <w:rsid w:val="001D5BCD"/>
    <w:rsid w:val="001D6ABC"/>
    <w:rsid w:val="001E1D88"/>
    <w:rsid w:val="001E6D93"/>
    <w:rsid w:val="001E75C4"/>
    <w:rsid w:val="001F00E1"/>
    <w:rsid w:val="001F2083"/>
    <w:rsid w:val="001F422F"/>
    <w:rsid w:val="001F6B2B"/>
    <w:rsid w:val="00202534"/>
    <w:rsid w:val="002048A3"/>
    <w:rsid w:val="00206BC7"/>
    <w:rsid w:val="00207652"/>
    <w:rsid w:val="00207743"/>
    <w:rsid w:val="00213781"/>
    <w:rsid w:val="00214ACE"/>
    <w:rsid w:val="00215E68"/>
    <w:rsid w:val="002160DD"/>
    <w:rsid w:val="00216775"/>
    <w:rsid w:val="002217D3"/>
    <w:rsid w:val="00224529"/>
    <w:rsid w:val="0022784F"/>
    <w:rsid w:val="00230F96"/>
    <w:rsid w:val="00231D36"/>
    <w:rsid w:val="0023362A"/>
    <w:rsid w:val="00235F3E"/>
    <w:rsid w:val="002370D9"/>
    <w:rsid w:val="002432E5"/>
    <w:rsid w:val="00244577"/>
    <w:rsid w:val="00250A64"/>
    <w:rsid w:val="00254100"/>
    <w:rsid w:val="00254558"/>
    <w:rsid w:val="0025534A"/>
    <w:rsid w:val="0026315D"/>
    <w:rsid w:val="00264A3A"/>
    <w:rsid w:val="00264CAD"/>
    <w:rsid w:val="002659BF"/>
    <w:rsid w:val="00265D6C"/>
    <w:rsid w:val="00265E5F"/>
    <w:rsid w:val="0026718A"/>
    <w:rsid w:val="00272C91"/>
    <w:rsid w:val="00272F07"/>
    <w:rsid w:val="00275078"/>
    <w:rsid w:val="00276EB0"/>
    <w:rsid w:val="00277C1E"/>
    <w:rsid w:val="00281CD4"/>
    <w:rsid w:val="002820C2"/>
    <w:rsid w:val="0028573B"/>
    <w:rsid w:val="002859DB"/>
    <w:rsid w:val="00290FC6"/>
    <w:rsid w:val="002930BD"/>
    <w:rsid w:val="002948E5"/>
    <w:rsid w:val="00295147"/>
    <w:rsid w:val="00295A30"/>
    <w:rsid w:val="00296B71"/>
    <w:rsid w:val="002A2075"/>
    <w:rsid w:val="002A20B3"/>
    <w:rsid w:val="002A3368"/>
    <w:rsid w:val="002A40E8"/>
    <w:rsid w:val="002A5BD6"/>
    <w:rsid w:val="002A6062"/>
    <w:rsid w:val="002B03CC"/>
    <w:rsid w:val="002B0DEC"/>
    <w:rsid w:val="002B3462"/>
    <w:rsid w:val="002B5FF1"/>
    <w:rsid w:val="002B7FB0"/>
    <w:rsid w:val="002C07EF"/>
    <w:rsid w:val="002C0A13"/>
    <w:rsid w:val="002C1998"/>
    <w:rsid w:val="002C4298"/>
    <w:rsid w:val="002C51A6"/>
    <w:rsid w:val="002C578E"/>
    <w:rsid w:val="002C73D0"/>
    <w:rsid w:val="002D11F5"/>
    <w:rsid w:val="002D1C0D"/>
    <w:rsid w:val="002D3246"/>
    <w:rsid w:val="002D7A46"/>
    <w:rsid w:val="002E0F85"/>
    <w:rsid w:val="002E17BB"/>
    <w:rsid w:val="002E3CFE"/>
    <w:rsid w:val="002E5862"/>
    <w:rsid w:val="002E5ACE"/>
    <w:rsid w:val="002E6FED"/>
    <w:rsid w:val="002F0218"/>
    <w:rsid w:val="002F4615"/>
    <w:rsid w:val="002F7887"/>
    <w:rsid w:val="00300E0C"/>
    <w:rsid w:val="003068DE"/>
    <w:rsid w:val="00306CA5"/>
    <w:rsid w:val="003071F3"/>
    <w:rsid w:val="00313D6A"/>
    <w:rsid w:val="00317BC2"/>
    <w:rsid w:val="003216A9"/>
    <w:rsid w:val="003216CC"/>
    <w:rsid w:val="0032367F"/>
    <w:rsid w:val="00323A21"/>
    <w:rsid w:val="0032458D"/>
    <w:rsid w:val="003253F1"/>
    <w:rsid w:val="00325654"/>
    <w:rsid w:val="0032604F"/>
    <w:rsid w:val="003315CC"/>
    <w:rsid w:val="00331C12"/>
    <w:rsid w:val="00333180"/>
    <w:rsid w:val="00335113"/>
    <w:rsid w:val="00337BE0"/>
    <w:rsid w:val="003402FE"/>
    <w:rsid w:val="003428F3"/>
    <w:rsid w:val="0034755D"/>
    <w:rsid w:val="00352FEF"/>
    <w:rsid w:val="0035344A"/>
    <w:rsid w:val="00353872"/>
    <w:rsid w:val="00355E1B"/>
    <w:rsid w:val="00356E10"/>
    <w:rsid w:val="00357EA0"/>
    <w:rsid w:val="00361700"/>
    <w:rsid w:val="003651DF"/>
    <w:rsid w:val="00366CCD"/>
    <w:rsid w:val="00367453"/>
    <w:rsid w:val="00370B90"/>
    <w:rsid w:val="00374A19"/>
    <w:rsid w:val="00375B9C"/>
    <w:rsid w:val="00376606"/>
    <w:rsid w:val="003766EF"/>
    <w:rsid w:val="003843C8"/>
    <w:rsid w:val="0038738F"/>
    <w:rsid w:val="003914D9"/>
    <w:rsid w:val="00393988"/>
    <w:rsid w:val="00394A8C"/>
    <w:rsid w:val="00395F09"/>
    <w:rsid w:val="003966B0"/>
    <w:rsid w:val="003A016D"/>
    <w:rsid w:val="003A041B"/>
    <w:rsid w:val="003A3353"/>
    <w:rsid w:val="003A5862"/>
    <w:rsid w:val="003A594F"/>
    <w:rsid w:val="003A6E06"/>
    <w:rsid w:val="003B142A"/>
    <w:rsid w:val="003B5C0B"/>
    <w:rsid w:val="003B6F09"/>
    <w:rsid w:val="003B772C"/>
    <w:rsid w:val="003C0DA5"/>
    <w:rsid w:val="003C16A8"/>
    <w:rsid w:val="003C419C"/>
    <w:rsid w:val="003C6D08"/>
    <w:rsid w:val="003D0C6A"/>
    <w:rsid w:val="003D4895"/>
    <w:rsid w:val="003D508E"/>
    <w:rsid w:val="003E1749"/>
    <w:rsid w:val="003E2F2A"/>
    <w:rsid w:val="003E2F5B"/>
    <w:rsid w:val="003E4198"/>
    <w:rsid w:val="003E4F31"/>
    <w:rsid w:val="003E6330"/>
    <w:rsid w:val="003F333E"/>
    <w:rsid w:val="003F59BF"/>
    <w:rsid w:val="003F619C"/>
    <w:rsid w:val="003F651E"/>
    <w:rsid w:val="00404DF5"/>
    <w:rsid w:val="00405849"/>
    <w:rsid w:val="00405F2E"/>
    <w:rsid w:val="0040650F"/>
    <w:rsid w:val="00410144"/>
    <w:rsid w:val="004150E8"/>
    <w:rsid w:val="00423B5B"/>
    <w:rsid w:val="004240D4"/>
    <w:rsid w:val="00424E22"/>
    <w:rsid w:val="00425642"/>
    <w:rsid w:val="00426491"/>
    <w:rsid w:val="00427543"/>
    <w:rsid w:val="00430B69"/>
    <w:rsid w:val="0043754A"/>
    <w:rsid w:val="00437CE1"/>
    <w:rsid w:val="0044168F"/>
    <w:rsid w:val="00442A1B"/>
    <w:rsid w:val="004443A8"/>
    <w:rsid w:val="00444D15"/>
    <w:rsid w:val="004452CF"/>
    <w:rsid w:val="00445C36"/>
    <w:rsid w:val="004462D1"/>
    <w:rsid w:val="00447880"/>
    <w:rsid w:val="004544C4"/>
    <w:rsid w:val="00456A7E"/>
    <w:rsid w:val="0046022C"/>
    <w:rsid w:val="00460544"/>
    <w:rsid w:val="0046389B"/>
    <w:rsid w:val="004640B3"/>
    <w:rsid w:val="004677A9"/>
    <w:rsid w:val="004700D5"/>
    <w:rsid w:val="00471C18"/>
    <w:rsid w:val="00472CF3"/>
    <w:rsid w:val="004770E5"/>
    <w:rsid w:val="00481F48"/>
    <w:rsid w:val="00482007"/>
    <w:rsid w:val="004824A9"/>
    <w:rsid w:val="0048261B"/>
    <w:rsid w:val="0048475F"/>
    <w:rsid w:val="00484A20"/>
    <w:rsid w:val="00484CD8"/>
    <w:rsid w:val="00490CC5"/>
    <w:rsid w:val="00491D85"/>
    <w:rsid w:val="004923D4"/>
    <w:rsid w:val="00493080"/>
    <w:rsid w:val="00496916"/>
    <w:rsid w:val="00497DCE"/>
    <w:rsid w:val="004A1747"/>
    <w:rsid w:val="004A1FDB"/>
    <w:rsid w:val="004A2D0E"/>
    <w:rsid w:val="004A330D"/>
    <w:rsid w:val="004A3F7D"/>
    <w:rsid w:val="004A4FC9"/>
    <w:rsid w:val="004A6E8A"/>
    <w:rsid w:val="004B1154"/>
    <w:rsid w:val="004B1C50"/>
    <w:rsid w:val="004B35E5"/>
    <w:rsid w:val="004B6EAD"/>
    <w:rsid w:val="004B72D1"/>
    <w:rsid w:val="004B735F"/>
    <w:rsid w:val="004B744D"/>
    <w:rsid w:val="004C2C49"/>
    <w:rsid w:val="004C7913"/>
    <w:rsid w:val="004D2D6C"/>
    <w:rsid w:val="004D2FF1"/>
    <w:rsid w:val="004D4A66"/>
    <w:rsid w:val="004D55A9"/>
    <w:rsid w:val="004D6C6D"/>
    <w:rsid w:val="004D6D5C"/>
    <w:rsid w:val="004D76A4"/>
    <w:rsid w:val="004E35CE"/>
    <w:rsid w:val="004E6841"/>
    <w:rsid w:val="004F0C29"/>
    <w:rsid w:val="004F0C8D"/>
    <w:rsid w:val="004F383D"/>
    <w:rsid w:val="004F3E45"/>
    <w:rsid w:val="004F5D84"/>
    <w:rsid w:val="004F75C1"/>
    <w:rsid w:val="004F7871"/>
    <w:rsid w:val="005008F9"/>
    <w:rsid w:val="00501DE4"/>
    <w:rsid w:val="00502892"/>
    <w:rsid w:val="00503448"/>
    <w:rsid w:val="00503EC5"/>
    <w:rsid w:val="00504C06"/>
    <w:rsid w:val="0050528F"/>
    <w:rsid w:val="0050633D"/>
    <w:rsid w:val="00507910"/>
    <w:rsid w:val="0051261C"/>
    <w:rsid w:val="0051318F"/>
    <w:rsid w:val="00513AA2"/>
    <w:rsid w:val="005173B0"/>
    <w:rsid w:val="00520E8A"/>
    <w:rsid w:val="00521184"/>
    <w:rsid w:val="005223BE"/>
    <w:rsid w:val="0052623E"/>
    <w:rsid w:val="00526671"/>
    <w:rsid w:val="00530B9D"/>
    <w:rsid w:val="00530BC3"/>
    <w:rsid w:val="0053277A"/>
    <w:rsid w:val="00533839"/>
    <w:rsid w:val="0053497E"/>
    <w:rsid w:val="00536579"/>
    <w:rsid w:val="00536BBF"/>
    <w:rsid w:val="00537CD7"/>
    <w:rsid w:val="00540BFA"/>
    <w:rsid w:val="00541D93"/>
    <w:rsid w:val="00543F21"/>
    <w:rsid w:val="00544318"/>
    <w:rsid w:val="005443EB"/>
    <w:rsid w:val="00545344"/>
    <w:rsid w:val="005465C2"/>
    <w:rsid w:val="00547C23"/>
    <w:rsid w:val="0055150E"/>
    <w:rsid w:val="005543F1"/>
    <w:rsid w:val="00554723"/>
    <w:rsid w:val="0055573D"/>
    <w:rsid w:val="00555DE5"/>
    <w:rsid w:val="005568D3"/>
    <w:rsid w:val="00560B7B"/>
    <w:rsid w:val="00561A5A"/>
    <w:rsid w:val="005633F3"/>
    <w:rsid w:val="005658C9"/>
    <w:rsid w:val="005755D1"/>
    <w:rsid w:val="00580A5C"/>
    <w:rsid w:val="0058191C"/>
    <w:rsid w:val="00581D6A"/>
    <w:rsid w:val="005876FC"/>
    <w:rsid w:val="0059056B"/>
    <w:rsid w:val="00591B49"/>
    <w:rsid w:val="0059356D"/>
    <w:rsid w:val="00594A91"/>
    <w:rsid w:val="00595464"/>
    <w:rsid w:val="005970A7"/>
    <w:rsid w:val="005A1457"/>
    <w:rsid w:val="005A1EDA"/>
    <w:rsid w:val="005A26F2"/>
    <w:rsid w:val="005A2FBD"/>
    <w:rsid w:val="005A53C1"/>
    <w:rsid w:val="005A5B25"/>
    <w:rsid w:val="005A5C2E"/>
    <w:rsid w:val="005B0EDC"/>
    <w:rsid w:val="005B236C"/>
    <w:rsid w:val="005B2BCD"/>
    <w:rsid w:val="005B4D00"/>
    <w:rsid w:val="005B4EB2"/>
    <w:rsid w:val="005C0F43"/>
    <w:rsid w:val="005C1B88"/>
    <w:rsid w:val="005C5D26"/>
    <w:rsid w:val="005D4820"/>
    <w:rsid w:val="005D5B49"/>
    <w:rsid w:val="005D6A27"/>
    <w:rsid w:val="005D7D35"/>
    <w:rsid w:val="005E05A5"/>
    <w:rsid w:val="005E0600"/>
    <w:rsid w:val="005E0636"/>
    <w:rsid w:val="005E1DCC"/>
    <w:rsid w:val="005E1F3C"/>
    <w:rsid w:val="005E2BF5"/>
    <w:rsid w:val="005E344D"/>
    <w:rsid w:val="005E70DF"/>
    <w:rsid w:val="005F0F25"/>
    <w:rsid w:val="005F0FC0"/>
    <w:rsid w:val="005F24D8"/>
    <w:rsid w:val="005F5073"/>
    <w:rsid w:val="005F6043"/>
    <w:rsid w:val="006026D7"/>
    <w:rsid w:val="00603347"/>
    <w:rsid w:val="00604BA9"/>
    <w:rsid w:val="00606026"/>
    <w:rsid w:val="0060615A"/>
    <w:rsid w:val="00607A44"/>
    <w:rsid w:val="00610692"/>
    <w:rsid w:val="00610DA7"/>
    <w:rsid w:val="00611348"/>
    <w:rsid w:val="006136ED"/>
    <w:rsid w:val="006149BA"/>
    <w:rsid w:val="00617BE8"/>
    <w:rsid w:val="006208E7"/>
    <w:rsid w:val="00621CB3"/>
    <w:rsid w:val="00622196"/>
    <w:rsid w:val="00624BC4"/>
    <w:rsid w:val="00630145"/>
    <w:rsid w:val="006310D7"/>
    <w:rsid w:val="006315A8"/>
    <w:rsid w:val="00637BBF"/>
    <w:rsid w:val="00637D27"/>
    <w:rsid w:val="00637D82"/>
    <w:rsid w:val="00640106"/>
    <w:rsid w:val="00644C25"/>
    <w:rsid w:val="0064661F"/>
    <w:rsid w:val="0064773D"/>
    <w:rsid w:val="0064798C"/>
    <w:rsid w:val="00650B0F"/>
    <w:rsid w:val="00652AAD"/>
    <w:rsid w:val="00654590"/>
    <w:rsid w:val="00654F20"/>
    <w:rsid w:val="0065550D"/>
    <w:rsid w:val="006634E1"/>
    <w:rsid w:val="00674103"/>
    <w:rsid w:val="00674AEB"/>
    <w:rsid w:val="00675CB6"/>
    <w:rsid w:val="006775D3"/>
    <w:rsid w:val="006800B3"/>
    <w:rsid w:val="00681310"/>
    <w:rsid w:val="00681474"/>
    <w:rsid w:val="00681F63"/>
    <w:rsid w:val="00684C23"/>
    <w:rsid w:val="00686268"/>
    <w:rsid w:val="00691E10"/>
    <w:rsid w:val="00692118"/>
    <w:rsid w:val="00692532"/>
    <w:rsid w:val="00694107"/>
    <w:rsid w:val="00695C7D"/>
    <w:rsid w:val="0069742F"/>
    <w:rsid w:val="006A0A03"/>
    <w:rsid w:val="006A2470"/>
    <w:rsid w:val="006A2D38"/>
    <w:rsid w:val="006A7E6C"/>
    <w:rsid w:val="006B040A"/>
    <w:rsid w:val="006B3409"/>
    <w:rsid w:val="006B56A9"/>
    <w:rsid w:val="006B6815"/>
    <w:rsid w:val="006C1BEB"/>
    <w:rsid w:val="006C3189"/>
    <w:rsid w:val="006C6684"/>
    <w:rsid w:val="006C6BCF"/>
    <w:rsid w:val="006C6E81"/>
    <w:rsid w:val="006D219E"/>
    <w:rsid w:val="006D26B5"/>
    <w:rsid w:val="006D2DEE"/>
    <w:rsid w:val="006D420A"/>
    <w:rsid w:val="006D4D88"/>
    <w:rsid w:val="006D553C"/>
    <w:rsid w:val="006D6908"/>
    <w:rsid w:val="006D6B22"/>
    <w:rsid w:val="006E4344"/>
    <w:rsid w:val="006E58EC"/>
    <w:rsid w:val="006E5D45"/>
    <w:rsid w:val="006E5EA3"/>
    <w:rsid w:val="006E6123"/>
    <w:rsid w:val="006E6358"/>
    <w:rsid w:val="006F42F8"/>
    <w:rsid w:val="006F53B5"/>
    <w:rsid w:val="006F6D69"/>
    <w:rsid w:val="006F7462"/>
    <w:rsid w:val="00700132"/>
    <w:rsid w:val="007014E3"/>
    <w:rsid w:val="00702F53"/>
    <w:rsid w:val="007030FE"/>
    <w:rsid w:val="00703E29"/>
    <w:rsid w:val="0070411A"/>
    <w:rsid w:val="00704EED"/>
    <w:rsid w:val="00707527"/>
    <w:rsid w:val="0071102F"/>
    <w:rsid w:val="00713304"/>
    <w:rsid w:val="007138A7"/>
    <w:rsid w:val="007138E6"/>
    <w:rsid w:val="00715DED"/>
    <w:rsid w:val="00722B3D"/>
    <w:rsid w:val="0072567D"/>
    <w:rsid w:val="007258B1"/>
    <w:rsid w:val="00730012"/>
    <w:rsid w:val="007303A5"/>
    <w:rsid w:val="007313FD"/>
    <w:rsid w:val="007324A9"/>
    <w:rsid w:val="007360F2"/>
    <w:rsid w:val="00740988"/>
    <w:rsid w:val="00740AA9"/>
    <w:rsid w:val="007456C7"/>
    <w:rsid w:val="007475E2"/>
    <w:rsid w:val="0075159E"/>
    <w:rsid w:val="00751CB0"/>
    <w:rsid w:val="007530BA"/>
    <w:rsid w:val="00754B42"/>
    <w:rsid w:val="0075511E"/>
    <w:rsid w:val="00755AB7"/>
    <w:rsid w:val="00760C74"/>
    <w:rsid w:val="00761840"/>
    <w:rsid w:val="00764B52"/>
    <w:rsid w:val="00765194"/>
    <w:rsid w:val="007664EE"/>
    <w:rsid w:val="00766608"/>
    <w:rsid w:val="007672B9"/>
    <w:rsid w:val="0077016A"/>
    <w:rsid w:val="00772113"/>
    <w:rsid w:val="007755A3"/>
    <w:rsid w:val="00775E7C"/>
    <w:rsid w:val="00781F4C"/>
    <w:rsid w:val="00783EEA"/>
    <w:rsid w:val="00783FAF"/>
    <w:rsid w:val="00792C7B"/>
    <w:rsid w:val="00794DE8"/>
    <w:rsid w:val="007951BF"/>
    <w:rsid w:val="0079698F"/>
    <w:rsid w:val="007A02EA"/>
    <w:rsid w:val="007A1462"/>
    <w:rsid w:val="007A1EA2"/>
    <w:rsid w:val="007A4620"/>
    <w:rsid w:val="007A4CF8"/>
    <w:rsid w:val="007A580E"/>
    <w:rsid w:val="007A5EEB"/>
    <w:rsid w:val="007A63DB"/>
    <w:rsid w:val="007B0851"/>
    <w:rsid w:val="007B1BBD"/>
    <w:rsid w:val="007B2222"/>
    <w:rsid w:val="007B40F7"/>
    <w:rsid w:val="007B54AA"/>
    <w:rsid w:val="007C0558"/>
    <w:rsid w:val="007C270D"/>
    <w:rsid w:val="007C28AA"/>
    <w:rsid w:val="007C2908"/>
    <w:rsid w:val="007C3027"/>
    <w:rsid w:val="007C4C7C"/>
    <w:rsid w:val="007C4D82"/>
    <w:rsid w:val="007C5260"/>
    <w:rsid w:val="007D43E7"/>
    <w:rsid w:val="007D6893"/>
    <w:rsid w:val="007E01D7"/>
    <w:rsid w:val="007E26F1"/>
    <w:rsid w:val="007E57E6"/>
    <w:rsid w:val="007E5D35"/>
    <w:rsid w:val="007F1A07"/>
    <w:rsid w:val="007F23D2"/>
    <w:rsid w:val="007F2DFB"/>
    <w:rsid w:val="007F2F92"/>
    <w:rsid w:val="007F3AEE"/>
    <w:rsid w:val="007F4653"/>
    <w:rsid w:val="007F471F"/>
    <w:rsid w:val="00800893"/>
    <w:rsid w:val="00801DB9"/>
    <w:rsid w:val="00801EFA"/>
    <w:rsid w:val="00803176"/>
    <w:rsid w:val="008037AC"/>
    <w:rsid w:val="00806033"/>
    <w:rsid w:val="0080670C"/>
    <w:rsid w:val="00806E59"/>
    <w:rsid w:val="008073A7"/>
    <w:rsid w:val="00807B57"/>
    <w:rsid w:val="00810BF8"/>
    <w:rsid w:val="00813917"/>
    <w:rsid w:val="00813F09"/>
    <w:rsid w:val="00814CAB"/>
    <w:rsid w:val="0081586E"/>
    <w:rsid w:val="00816032"/>
    <w:rsid w:val="00820210"/>
    <w:rsid w:val="00820C09"/>
    <w:rsid w:val="00821EE5"/>
    <w:rsid w:val="008222E6"/>
    <w:rsid w:val="008224C8"/>
    <w:rsid w:val="00822AA8"/>
    <w:rsid w:val="008240B5"/>
    <w:rsid w:val="00824D3A"/>
    <w:rsid w:val="008264FB"/>
    <w:rsid w:val="0083010A"/>
    <w:rsid w:val="00831FC0"/>
    <w:rsid w:val="008328FA"/>
    <w:rsid w:val="0083307E"/>
    <w:rsid w:val="0083648C"/>
    <w:rsid w:val="008367F5"/>
    <w:rsid w:val="008442E4"/>
    <w:rsid w:val="00846D95"/>
    <w:rsid w:val="008531D2"/>
    <w:rsid w:val="008573C5"/>
    <w:rsid w:val="00861AE5"/>
    <w:rsid w:val="00862B46"/>
    <w:rsid w:val="00862EC3"/>
    <w:rsid w:val="00865F95"/>
    <w:rsid w:val="0087074B"/>
    <w:rsid w:val="00871507"/>
    <w:rsid w:val="00873ADE"/>
    <w:rsid w:val="0087601E"/>
    <w:rsid w:val="00876218"/>
    <w:rsid w:val="00876CAD"/>
    <w:rsid w:val="00876D1B"/>
    <w:rsid w:val="008804AB"/>
    <w:rsid w:val="00882C4D"/>
    <w:rsid w:val="0088305F"/>
    <w:rsid w:val="00885291"/>
    <w:rsid w:val="0088596B"/>
    <w:rsid w:val="00895C85"/>
    <w:rsid w:val="00895E83"/>
    <w:rsid w:val="008A2795"/>
    <w:rsid w:val="008A2A43"/>
    <w:rsid w:val="008A402C"/>
    <w:rsid w:val="008A5DB4"/>
    <w:rsid w:val="008A5F7E"/>
    <w:rsid w:val="008A6969"/>
    <w:rsid w:val="008A7CCB"/>
    <w:rsid w:val="008A7D7C"/>
    <w:rsid w:val="008B188A"/>
    <w:rsid w:val="008B379F"/>
    <w:rsid w:val="008B3809"/>
    <w:rsid w:val="008B5D12"/>
    <w:rsid w:val="008B74D6"/>
    <w:rsid w:val="008C1E16"/>
    <w:rsid w:val="008C2F86"/>
    <w:rsid w:val="008C307D"/>
    <w:rsid w:val="008C441C"/>
    <w:rsid w:val="008C4C7B"/>
    <w:rsid w:val="008C5451"/>
    <w:rsid w:val="008C5DB8"/>
    <w:rsid w:val="008C6A69"/>
    <w:rsid w:val="008C6EF5"/>
    <w:rsid w:val="008C7C1D"/>
    <w:rsid w:val="008D068D"/>
    <w:rsid w:val="008D0764"/>
    <w:rsid w:val="008D27ED"/>
    <w:rsid w:val="008D3A24"/>
    <w:rsid w:val="008D75D1"/>
    <w:rsid w:val="008E2909"/>
    <w:rsid w:val="008E371A"/>
    <w:rsid w:val="008E4F0C"/>
    <w:rsid w:val="008E596B"/>
    <w:rsid w:val="008F054A"/>
    <w:rsid w:val="008F15CA"/>
    <w:rsid w:val="008F2ACB"/>
    <w:rsid w:val="008F3D66"/>
    <w:rsid w:val="008F7EB1"/>
    <w:rsid w:val="009003F6"/>
    <w:rsid w:val="00902240"/>
    <w:rsid w:val="00904E4D"/>
    <w:rsid w:val="00913296"/>
    <w:rsid w:val="009154D9"/>
    <w:rsid w:val="00916FD9"/>
    <w:rsid w:val="009174BD"/>
    <w:rsid w:val="009178E3"/>
    <w:rsid w:val="00926436"/>
    <w:rsid w:val="009278A1"/>
    <w:rsid w:val="00927CC9"/>
    <w:rsid w:val="00930785"/>
    <w:rsid w:val="00930E04"/>
    <w:rsid w:val="00931325"/>
    <w:rsid w:val="0093179D"/>
    <w:rsid w:val="00932D84"/>
    <w:rsid w:val="00933ABB"/>
    <w:rsid w:val="00933BFC"/>
    <w:rsid w:val="00941234"/>
    <w:rsid w:val="0094186D"/>
    <w:rsid w:val="00942575"/>
    <w:rsid w:val="0094357B"/>
    <w:rsid w:val="00945D56"/>
    <w:rsid w:val="00946D24"/>
    <w:rsid w:val="00947FFA"/>
    <w:rsid w:val="00950AAF"/>
    <w:rsid w:val="00951D84"/>
    <w:rsid w:val="0095268E"/>
    <w:rsid w:val="009540D5"/>
    <w:rsid w:val="0095546D"/>
    <w:rsid w:val="00955841"/>
    <w:rsid w:val="0095624A"/>
    <w:rsid w:val="00961884"/>
    <w:rsid w:val="009620A2"/>
    <w:rsid w:val="009628E8"/>
    <w:rsid w:val="00966207"/>
    <w:rsid w:val="00966C93"/>
    <w:rsid w:val="00966D57"/>
    <w:rsid w:val="00967711"/>
    <w:rsid w:val="00967785"/>
    <w:rsid w:val="009704A2"/>
    <w:rsid w:val="00970E60"/>
    <w:rsid w:val="009717F8"/>
    <w:rsid w:val="00971E03"/>
    <w:rsid w:val="009722CB"/>
    <w:rsid w:val="00974212"/>
    <w:rsid w:val="0097707A"/>
    <w:rsid w:val="00977C25"/>
    <w:rsid w:val="009828C4"/>
    <w:rsid w:val="00983F0D"/>
    <w:rsid w:val="0099203A"/>
    <w:rsid w:val="0099345F"/>
    <w:rsid w:val="00997254"/>
    <w:rsid w:val="009A1B98"/>
    <w:rsid w:val="009A240C"/>
    <w:rsid w:val="009A415C"/>
    <w:rsid w:val="009A5C7D"/>
    <w:rsid w:val="009A5DAF"/>
    <w:rsid w:val="009A6862"/>
    <w:rsid w:val="009A6874"/>
    <w:rsid w:val="009A7601"/>
    <w:rsid w:val="009B026F"/>
    <w:rsid w:val="009B3ABD"/>
    <w:rsid w:val="009B7AEF"/>
    <w:rsid w:val="009C16F8"/>
    <w:rsid w:val="009D3111"/>
    <w:rsid w:val="009D3181"/>
    <w:rsid w:val="009D334A"/>
    <w:rsid w:val="009D6FBE"/>
    <w:rsid w:val="009E0F21"/>
    <w:rsid w:val="009E13E0"/>
    <w:rsid w:val="009E1B59"/>
    <w:rsid w:val="009E2422"/>
    <w:rsid w:val="009E3118"/>
    <w:rsid w:val="009E3815"/>
    <w:rsid w:val="009E3C2D"/>
    <w:rsid w:val="009E3F9D"/>
    <w:rsid w:val="009E5CAD"/>
    <w:rsid w:val="009E714A"/>
    <w:rsid w:val="009F0C0E"/>
    <w:rsid w:val="009F0CC1"/>
    <w:rsid w:val="009F0D77"/>
    <w:rsid w:val="009F1A88"/>
    <w:rsid w:val="009F36BE"/>
    <w:rsid w:val="009F3885"/>
    <w:rsid w:val="009F3DA9"/>
    <w:rsid w:val="009F43ED"/>
    <w:rsid w:val="009F505D"/>
    <w:rsid w:val="009F5743"/>
    <w:rsid w:val="009F5C91"/>
    <w:rsid w:val="009F5CB0"/>
    <w:rsid w:val="009F61D8"/>
    <w:rsid w:val="00A00EF8"/>
    <w:rsid w:val="00A056CC"/>
    <w:rsid w:val="00A06C7A"/>
    <w:rsid w:val="00A10C5C"/>
    <w:rsid w:val="00A11286"/>
    <w:rsid w:val="00A11394"/>
    <w:rsid w:val="00A12811"/>
    <w:rsid w:val="00A203FC"/>
    <w:rsid w:val="00A20428"/>
    <w:rsid w:val="00A2230A"/>
    <w:rsid w:val="00A2244E"/>
    <w:rsid w:val="00A23612"/>
    <w:rsid w:val="00A23A2C"/>
    <w:rsid w:val="00A24451"/>
    <w:rsid w:val="00A25B82"/>
    <w:rsid w:val="00A3014C"/>
    <w:rsid w:val="00A304A8"/>
    <w:rsid w:val="00A31830"/>
    <w:rsid w:val="00A327AA"/>
    <w:rsid w:val="00A3732D"/>
    <w:rsid w:val="00A409D2"/>
    <w:rsid w:val="00A4105C"/>
    <w:rsid w:val="00A41507"/>
    <w:rsid w:val="00A41B30"/>
    <w:rsid w:val="00A41D14"/>
    <w:rsid w:val="00A4206C"/>
    <w:rsid w:val="00A455B0"/>
    <w:rsid w:val="00A473BE"/>
    <w:rsid w:val="00A47ADF"/>
    <w:rsid w:val="00A51842"/>
    <w:rsid w:val="00A52454"/>
    <w:rsid w:val="00A52A9E"/>
    <w:rsid w:val="00A530BC"/>
    <w:rsid w:val="00A5503D"/>
    <w:rsid w:val="00A62093"/>
    <w:rsid w:val="00A625EC"/>
    <w:rsid w:val="00A670B9"/>
    <w:rsid w:val="00A72546"/>
    <w:rsid w:val="00A74559"/>
    <w:rsid w:val="00A7526A"/>
    <w:rsid w:val="00A75709"/>
    <w:rsid w:val="00A8232E"/>
    <w:rsid w:val="00A84995"/>
    <w:rsid w:val="00A85E4A"/>
    <w:rsid w:val="00A86143"/>
    <w:rsid w:val="00A86B82"/>
    <w:rsid w:val="00A87A5F"/>
    <w:rsid w:val="00A92E02"/>
    <w:rsid w:val="00A93829"/>
    <w:rsid w:val="00A94E34"/>
    <w:rsid w:val="00A964BD"/>
    <w:rsid w:val="00A979DD"/>
    <w:rsid w:val="00AA1C47"/>
    <w:rsid w:val="00AA3C83"/>
    <w:rsid w:val="00AA5E72"/>
    <w:rsid w:val="00AA6069"/>
    <w:rsid w:val="00AA7102"/>
    <w:rsid w:val="00AA7415"/>
    <w:rsid w:val="00AB0831"/>
    <w:rsid w:val="00AB1F2F"/>
    <w:rsid w:val="00AB4698"/>
    <w:rsid w:val="00AB6B5F"/>
    <w:rsid w:val="00AB6CDA"/>
    <w:rsid w:val="00AC0223"/>
    <w:rsid w:val="00AC0EEE"/>
    <w:rsid w:val="00AC14B1"/>
    <w:rsid w:val="00AC4F9E"/>
    <w:rsid w:val="00AD1B3E"/>
    <w:rsid w:val="00AD1D01"/>
    <w:rsid w:val="00AD2B2A"/>
    <w:rsid w:val="00AD3237"/>
    <w:rsid w:val="00AD5304"/>
    <w:rsid w:val="00AD589B"/>
    <w:rsid w:val="00AD70C1"/>
    <w:rsid w:val="00AE16B6"/>
    <w:rsid w:val="00AE24BF"/>
    <w:rsid w:val="00AE34ED"/>
    <w:rsid w:val="00AF1BCF"/>
    <w:rsid w:val="00AF3530"/>
    <w:rsid w:val="00AF519C"/>
    <w:rsid w:val="00AF6BD7"/>
    <w:rsid w:val="00AF78B6"/>
    <w:rsid w:val="00B00964"/>
    <w:rsid w:val="00B0118B"/>
    <w:rsid w:val="00B02A59"/>
    <w:rsid w:val="00B03C06"/>
    <w:rsid w:val="00B079F8"/>
    <w:rsid w:val="00B1112F"/>
    <w:rsid w:val="00B12B9F"/>
    <w:rsid w:val="00B16B54"/>
    <w:rsid w:val="00B21775"/>
    <w:rsid w:val="00B220C8"/>
    <w:rsid w:val="00B232A4"/>
    <w:rsid w:val="00B2503F"/>
    <w:rsid w:val="00B25514"/>
    <w:rsid w:val="00B30E28"/>
    <w:rsid w:val="00B335A3"/>
    <w:rsid w:val="00B413F2"/>
    <w:rsid w:val="00B423B7"/>
    <w:rsid w:val="00B46BAB"/>
    <w:rsid w:val="00B47730"/>
    <w:rsid w:val="00B47C6F"/>
    <w:rsid w:val="00B47D6F"/>
    <w:rsid w:val="00B47F45"/>
    <w:rsid w:val="00B50D6B"/>
    <w:rsid w:val="00B523BF"/>
    <w:rsid w:val="00B5278E"/>
    <w:rsid w:val="00B53A02"/>
    <w:rsid w:val="00B555DE"/>
    <w:rsid w:val="00B6051E"/>
    <w:rsid w:val="00B6154C"/>
    <w:rsid w:val="00B70394"/>
    <w:rsid w:val="00B72F06"/>
    <w:rsid w:val="00B73783"/>
    <w:rsid w:val="00B73C2D"/>
    <w:rsid w:val="00B74DC3"/>
    <w:rsid w:val="00B76C1C"/>
    <w:rsid w:val="00B82274"/>
    <w:rsid w:val="00B82B7A"/>
    <w:rsid w:val="00B82C84"/>
    <w:rsid w:val="00B84BB2"/>
    <w:rsid w:val="00B85437"/>
    <w:rsid w:val="00B95321"/>
    <w:rsid w:val="00B96BA1"/>
    <w:rsid w:val="00B97B6F"/>
    <w:rsid w:val="00B97E3A"/>
    <w:rsid w:val="00BA07DF"/>
    <w:rsid w:val="00BA1185"/>
    <w:rsid w:val="00BA1417"/>
    <w:rsid w:val="00BA14CF"/>
    <w:rsid w:val="00BA17EA"/>
    <w:rsid w:val="00BA230D"/>
    <w:rsid w:val="00BA2515"/>
    <w:rsid w:val="00BA25D9"/>
    <w:rsid w:val="00BA31C0"/>
    <w:rsid w:val="00BA5867"/>
    <w:rsid w:val="00BA58FD"/>
    <w:rsid w:val="00BA5B70"/>
    <w:rsid w:val="00BA7382"/>
    <w:rsid w:val="00BA7EBC"/>
    <w:rsid w:val="00BB0850"/>
    <w:rsid w:val="00BB0AB1"/>
    <w:rsid w:val="00BB2FFC"/>
    <w:rsid w:val="00BB496A"/>
    <w:rsid w:val="00BB6105"/>
    <w:rsid w:val="00BB76A0"/>
    <w:rsid w:val="00BB7816"/>
    <w:rsid w:val="00BC2958"/>
    <w:rsid w:val="00BC33E9"/>
    <w:rsid w:val="00BC4521"/>
    <w:rsid w:val="00BC5DE4"/>
    <w:rsid w:val="00BC7D3B"/>
    <w:rsid w:val="00BD129B"/>
    <w:rsid w:val="00BD13DC"/>
    <w:rsid w:val="00BD27AB"/>
    <w:rsid w:val="00BD42DE"/>
    <w:rsid w:val="00BD4E92"/>
    <w:rsid w:val="00BD5079"/>
    <w:rsid w:val="00BD574A"/>
    <w:rsid w:val="00BD5E7C"/>
    <w:rsid w:val="00BE062F"/>
    <w:rsid w:val="00BE14A3"/>
    <w:rsid w:val="00BE17F4"/>
    <w:rsid w:val="00BE22B3"/>
    <w:rsid w:val="00BE3BA4"/>
    <w:rsid w:val="00BE422C"/>
    <w:rsid w:val="00BE614C"/>
    <w:rsid w:val="00BE67AE"/>
    <w:rsid w:val="00BF17E1"/>
    <w:rsid w:val="00BF1E70"/>
    <w:rsid w:val="00BF2FE9"/>
    <w:rsid w:val="00BF47CB"/>
    <w:rsid w:val="00C01659"/>
    <w:rsid w:val="00C02066"/>
    <w:rsid w:val="00C027BB"/>
    <w:rsid w:val="00C034E6"/>
    <w:rsid w:val="00C062AE"/>
    <w:rsid w:val="00C06B3F"/>
    <w:rsid w:val="00C13F3C"/>
    <w:rsid w:val="00C144FC"/>
    <w:rsid w:val="00C154E0"/>
    <w:rsid w:val="00C1607F"/>
    <w:rsid w:val="00C16743"/>
    <w:rsid w:val="00C17235"/>
    <w:rsid w:val="00C176BF"/>
    <w:rsid w:val="00C17AE0"/>
    <w:rsid w:val="00C3028C"/>
    <w:rsid w:val="00C3055C"/>
    <w:rsid w:val="00C30D11"/>
    <w:rsid w:val="00C31861"/>
    <w:rsid w:val="00C3330C"/>
    <w:rsid w:val="00C356F5"/>
    <w:rsid w:val="00C36CB8"/>
    <w:rsid w:val="00C415DA"/>
    <w:rsid w:val="00C446BC"/>
    <w:rsid w:val="00C448F8"/>
    <w:rsid w:val="00C44970"/>
    <w:rsid w:val="00C44CAA"/>
    <w:rsid w:val="00C4655E"/>
    <w:rsid w:val="00C47C71"/>
    <w:rsid w:val="00C50EFF"/>
    <w:rsid w:val="00C52357"/>
    <w:rsid w:val="00C525BD"/>
    <w:rsid w:val="00C52D17"/>
    <w:rsid w:val="00C53580"/>
    <w:rsid w:val="00C5731A"/>
    <w:rsid w:val="00C57A49"/>
    <w:rsid w:val="00C6058E"/>
    <w:rsid w:val="00C60C47"/>
    <w:rsid w:val="00C6371D"/>
    <w:rsid w:val="00C6533B"/>
    <w:rsid w:val="00C65853"/>
    <w:rsid w:val="00C65A02"/>
    <w:rsid w:val="00C67A0D"/>
    <w:rsid w:val="00C7509C"/>
    <w:rsid w:val="00C76965"/>
    <w:rsid w:val="00C76AE5"/>
    <w:rsid w:val="00C7718C"/>
    <w:rsid w:val="00C81131"/>
    <w:rsid w:val="00C823BD"/>
    <w:rsid w:val="00C823C0"/>
    <w:rsid w:val="00C82ADF"/>
    <w:rsid w:val="00C85898"/>
    <w:rsid w:val="00C85AB9"/>
    <w:rsid w:val="00C85B23"/>
    <w:rsid w:val="00C85DFC"/>
    <w:rsid w:val="00C87D04"/>
    <w:rsid w:val="00C87EFC"/>
    <w:rsid w:val="00C914B2"/>
    <w:rsid w:val="00C93E0F"/>
    <w:rsid w:val="00C96AA0"/>
    <w:rsid w:val="00C96B4E"/>
    <w:rsid w:val="00C9754C"/>
    <w:rsid w:val="00CA0B24"/>
    <w:rsid w:val="00CA40B0"/>
    <w:rsid w:val="00CA5963"/>
    <w:rsid w:val="00CA5F3C"/>
    <w:rsid w:val="00CA6285"/>
    <w:rsid w:val="00CA62D8"/>
    <w:rsid w:val="00CB23BD"/>
    <w:rsid w:val="00CB3998"/>
    <w:rsid w:val="00CB5618"/>
    <w:rsid w:val="00CB577A"/>
    <w:rsid w:val="00CC290D"/>
    <w:rsid w:val="00CC483E"/>
    <w:rsid w:val="00CD0519"/>
    <w:rsid w:val="00CD09B1"/>
    <w:rsid w:val="00CD2075"/>
    <w:rsid w:val="00CD4E82"/>
    <w:rsid w:val="00CD5F14"/>
    <w:rsid w:val="00CD6A04"/>
    <w:rsid w:val="00CE374C"/>
    <w:rsid w:val="00CE4A6D"/>
    <w:rsid w:val="00CE5795"/>
    <w:rsid w:val="00CE63C1"/>
    <w:rsid w:val="00CF1E4D"/>
    <w:rsid w:val="00CF2A56"/>
    <w:rsid w:val="00CF44E4"/>
    <w:rsid w:val="00CF46A3"/>
    <w:rsid w:val="00CF5FE7"/>
    <w:rsid w:val="00D07067"/>
    <w:rsid w:val="00D075AA"/>
    <w:rsid w:val="00D101BD"/>
    <w:rsid w:val="00D10370"/>
    <w:rsid w:val="00D11861"/>
    <w:rsid w:val="00D11D57"/>
    <w:rsid w:val="00D15067"/>
    <w:rsid w:val="00D1557F"/>
    <w:rsid w:val="00D16C7C"/>
    <w:rsid w:val="00D16E03"/>
    <w:rsid w:val="00D17158"/>
    <w:rsid w:val="00D200F8"/>
    <w:rsid w:val="00D208E9"/>
    <w:rsid w:val="00D2146D"/>
    <w:rsid w:val="00D234C0"/>
    <w:rsid w:val="00D23EC6"/>
    <w:rsid w:val="00D25D68"/>
    <w:rsid w:val="00D2601F"/>
    <w:rsid w:val="00D27CC0"/>
    <w:rsid w:val="00D30E41"/>
    <w:rsid w:val="00D31534"/>
    <w:rsid w:val="00D32EF8"/>
    <w:rsid w:val="00D338A7"/>
    <w:rsid w:val="00D35734"/>
    <w:rsid w:val="00D35A83"/>
    <w:rsid w:val="00D40975"/>
    <w:rsid w:val="00D40E5E"/>
    <w:rsid w:val="00D41A97"/>
    <w:rsid w:val="00D42DF0"/>
    <w:rsid w:val="00D432B7"/>
    <w:rsid w:val="00D526AB"/>
    <w:rsid w:val="00D56390"/>
    <w:rsid w:val="00D564D7"/>
    <w:rsid w:val="00D5664C"/>
    <w:rsid w:val="00D578DE"/>
    <w:rsid w:val="00D605E6"/>
    <w:rsid w:val="00D62577"/>
    <w:rsid w:val="00D62CAD"/>
    <w:rsid w:val="00D6300E"/>
    <w:rsid w:val="00D662D3"/>
    <w:rsid w:val="00D6663F"/>
    <w:rsid w:val="00D6718D"/>
    <w:rsid w:val="00D67AAC"/>
    <w:rsid w:val="00D70021"/>
    <w:rsid w:val="00D70156"/>
    <w:rsid w:val="00D72C3E"/>
    <w:rsid w:val="00D72E1C"/>
    <w:rsid w:val="00D74508"/>
    <w:rsid w:val="00D75432"/>
    <w:rsid w:val="00D776E0"/>
    <w:rsid w:val="00D81B90"/>
    <w:rsid w:val="00D81E99"/>
    <w:rsid w:val="00D83B77"/>
    <w:rsid w:val="00D83E3D"/>
    <w:rsid w:val="00D84631"/>
    <w:rsid w:val="00D9330E"/>
    <w:rsid w:val="00DA0D71"/>
    <w:rsid w:val="00DA3E29"/>
    <w:rsid w:val="00DA40EF"/>
    <w:rsid w:val="00DA50DD"/>
    <w:rsid w:val="00DA57AB"/>
    <w:rsid w:val="00DA5B2E"/>
    <w:rsid w:val="00DA6098"/>
    <w:rsid w:val="00DA7208"/>
    <w:rsid w:val="00DB0709"/>
    <w:rsid w:val="00DB091D"/>
    <w:rsid w:val="00DB42D3"/>
    <w:rsid w:val="00DB4607"/>
    <w:rsid w:val="00DB6A1E"/>
    <w:rsid w:val="00DB77A2"/>
    <w:rsid w:val="00DC13DB"/>
    <w:rsid w:val="00DC3E00"/>
    <w:rsid w:val="00DC50E2"/>
    <w:rsid w:val="00DC5BD7"/>
    <w:rsid w:val="00DC678B"/>
    <w:rsid w:val="00DD0F39"/>
    <w:rsid w:val="00DD1C1A"/>
    <w:rsid w:val="00DD1D73"/>
    <w:rsid w:val="00DD24C7"/>
    <w:rsid w:val="00DD2C71"/>
    <w:rsid w:val="00DD402D"/>
    <w:rsid w:val="00DD5114"/>
    <w:rsid w:val="00DD63D0"/>
    <w:rsid w:val="00DD6882"/>
    <w:rsid w:val="00DE1E8E"/>
    <w:rsid w:val="00DE4050"/>
    <w:rsid w:val="00DE6293"/>
    <w:rsid w:val="00DE6C13"/>
    <w:rsid w:val="00DE71AD"/>
    <w:rsid w:val="00DF0B58"/>
    <w:rsid w:val="00DF13E9"/>
    <w:rsid w:val="00DF3259"/>
    <w:rsid w:val="00DF3935"/>
    <w:rsid w:val="00E00586"/>
    <w:rsid w:val="00E03013"/>
    <w:rsid w:val="00E05768"/>
    <w:rsid w:val="00E06E01"/>
    <w:rsid w:val="00E07261"/>
    <w:rsid w:val="00E10295"/>
    <w:rsid w:val="00E163F5"/>
    <w:rsid w:val="00E16CF4"/>
    <w:rsid w:val="00E17AAA"/>
    <w:rsid w:val="00E2023C"/>
    <w:rsid w:val="00E22FD2"/>
    <w:rsid w:val="00E254DE"/>
    <w:rsid w:val="00E279C7"/>
    <w:rsid w:val="00E27F47"/>
    <w:rsid w:val="00E337B2"/>
    <w:rsid w:val="00E36046"/>
    <w:rsid w:val="00E368C1"/>
    <w:rsid w:val="00E36F0D"/>
    <w:rsid w:val="00E42686"/>
    <w:rsid w:val="00E45713"/>
    <w:rsid w:val="00E46E94"/>
    <w:rsid w:val="00E5141A"/>
    <w:rsid w:val="00E525EF"/>
    <w:rsid w:val="00E52B61"/>
    <w:rsid w:val="00E542ED"/>
    <w:rsid w:val="00E54D91"/>
    <w:rsid w:val="00E54EA4"/>
    <w:rsid w:val="00E551C4"/>
    <w:rsid w:val="00E5608B"/>
    <w:rsid w:val="00E564F8"/>
    <w:rsid w:val="00E57237"/>
    <w:rsid w:val="00E57487"/>
    <w:rsid w:val="00E57F99"/>
    <w:rsid w:val="00E61E73"/>
    <w:rsid w:val="00E64429"/>
    <w:rsid w:val="00E65054"/>
    <w:rsid w:val="00E6534B"/>
    <w:rsid w:val="00E66780"/>
    <w:rsid w:val="00E6678D"/>
    <w:rsid w:val="00E705B8"/>
    <w:rsid w:val="00E711DA"/>
    <w:rsid w:val="00E7715F"/>
    <w:rsid w:val="00E773DC"/>
    <w:rsid w:val="00E810AC"/>
    <w:rsid w:val="00E828AC"/>
    <w:rsid w:val="00E87CC3"/>
    <w:rsid w:val="00E91098"/>
    <w:rsid w:val="00E9210B"/>
    <w:rsid w:val="00EA3AE2"/>
    <w:rsid w:val="00EA4CD3"/>
    <w:rsid w:val="00EA4FFB"/>
    <w:rsid w:val="00EA6164"/>
    <w:rsid w:val="00EA7A01"/>
    <w:rsid w:val="00EA7CCD"/>
    <w:rsid w:val="00EB154B"/>
    <w:rsid w:val="00EB234D"/>
    <w:rsid w:val="00EB3F6F"/>
    <w:rsid w:val="00EB5C44"/>
    <w:rsid w:val="00EB5FE0"/>
    <w:rsid w:val="00EC185B"/>
    <w:rsid w:val="00EC428E"/>
    <w:rsid w:val="00EC50AD"/>
    <w:rsid w:val="00EC6872"/>
    <w:rsid w:val="00ED0449"/>
    <w:rsid w:val="00ED1087"/>
    <w:rsid w:val="00ED5A7B"/>
    <w:rsid w:val="00ED769C"/>
    <w:rsid w:val="00EE1525"/>
    <w:rsid w:val="00EE1C35"/>
    <w:rsid w:val="00EE2292"/>
    <w:rsid w:val="00EE372B"/>
    <w:rsid w:val="00EE4651"/>
    <w:rsid w:val="00EE7822"/>
    <w:rsid w:val="00EE7ED0"/>
    <w:rsid w:val="00EF09B7"/>
    <w:rsid w:val="00EF16B0"/>
    <w:rsid w:val="00EF18F6"/>
    <w:rsid w:val="00EF6CA7"/>
    <w:rsid w:val="00EF7B9C"/>
    <w:rsid w:val="00F00F7F"/>
    <w:rsid w:val="00F02848"/>
    <w:rsid w:val="00F03447"/>
    <w:rsid w:val="00F05B1C"/>
    <w:rsid w:val="00F119AC"/>
    <w:rsid w:val="00F12B7F"/>
    <w:rsid w:val="00F135AB"/>
    <w:rsid w:val="00F14B55"/>
    <w:rsid w:val="00F154D3"/>
    <w:rsid w:val="00F15DF3"/>
    <w:rsid w:val="00F16609"/>
    <w:rsid w:val="00F16AE3"/>
    <w:rsid w:val="00F2023C"/>
    <w:rsid w:val="00F20512"/>
    <w:rsid w:val="00F23425"/>
    <w:rsid w:val="00F23596"/>
    <w:rsid w:val="00F244D4"/>
    <w:rsid w:val="00F26062"/>
    <w:rsid w:val="00F30CEE"/>
    <w:rsid w:val="00F330F8"/>
    <w:rsid w:val="00F33971"/>
    <w:rsid w:val="00F34586"/>
    <w:rsid w:val="00F350B8"/>
    <w:rsid w:val="00F378BC"/>
    <w:rsid w:val="00F37EDA"/>
    <w:rsid w:val="00F4014E"/>
    <w:rsid w:val="00F41415"/>
    <w:rsid w:val="00F437CD"/>
    <w:rsid w:val="00F4394B"/>
    <w:rsid w:val="00F44A63"/>
    <w:rsid w:val="00F45334"/>
    <w:rsid w:val="00F476B3"/>
    <w:rsid w:val="00F477AC"/>
    <w:rsid w:val="00F479E9"/>
    <w:rsid w:val="00F51A25"/>
    <w:rsid w:val="00F533E4"/>
    <w:rsid w:val="00F5587C"/>
    <w:rsid w:val="00F56CFF"/>
    <w:rsid w:val="00F57183"/>
    <w:rsid w:val="00F600C5"/>
    <w:rsid w:val="00F618BE"/>
    <w:rsid w:val="00F65DB9"/>
    <w:rsid w:val="00F6669E"/>
    <w:rsid w:val="00F666D6"/>
    <w:rsid w:val="00F67D23"/>
    <w:rsid w:val="00F7320A"/>
    <w:rsid w:val="00F74046"/>
    <w:rsid w:val="00F74414"/>
    <w:rsid w:val="00F75D20"/>
    <w:rsid w:val="00F80FF3"/>
    <w:rsid w:val="00F82D72"/>
    <w:rsid w:val="00F83E12"/>
    <w:rsid w:val="00F87EFB"/>
    <w:rsid w:val="00F90C71"/>
    <w:rsid w:val="00F91F35"/>
    <w:rsid w:val="00F922A6"/>
    <w:rsid w:val="00F94792"/>
    <w:rsid w:val="00F96A74"/>
    <w:rsid w:val="00FA2572"/>
    <w:rsid w:val="00FA28FE"/>
    <w:rsid w:val="00FA4372"/>
    <w:rsid w:val="00FA5CE2"/>
    <w:rsid w:val="00FB0403"/>
    <w:rsid w:val="00FB33C3"/>
    <w:rsid w:val="00FB5F54"/>
    <w:rsid w:val="00FB6C04"/>
    <w:rsid w:val="00FC4C29"/>
    <w:rsid w:val="00FD1625"/>
    <w:rsid w:val="00FD1905"/>
    <w:rsid w:val="00FD20A5"/>
    <w:rsid w:val="00FD3374"/>
    <w:rsid w:val="00FD7736"/>
    <w:rsid w:val="00FE102D"/>
    <w:rsid w:val="00FE1CA2"/>
    <w:rsid w:val="00FE4655"/>
    <w:rsid w:val="00FE46A9"/>
    <w:rsid w:val="00FE4A6A"/>
    <w:rsid w:val="00FE6863"/>
    <w:rsid w:val="00FF1D89"/>
    <w:rsid w:val="00FF1E2E"/>
    <w:rsid w:val="00FF22CF"/>
    <w:rsid w:val="00FF2991"/>
    <w:rsid w:val="00FF4DF1"/>
    <w:rsid w:val="00FF5B20"/>
    <w:rsid w:val="00FF5D8D"/>
    <w:rsid w:val="052B38A3"/>
    <w:rsid w:val="082F25E4"/>
    <w:rsid w:val="0A8F5D00"/>
    <w:rsid w:val="0D75742F"/>
    <w:rsid w:val="0EA7186A"/>
    <w:rsid w:val="0EE330C9"/>
    <w:rsid w:val="10C04E65"/>
    <w:rsid w:val="10D017D9"/>
    <w:rsid w:val="1348114C"/>
    <w:rsid w:val="138B5786"/>
    <w:rsid w:val="1CA0145B"/>
    <w:rsid w:val="20BF58D8"/>
    <w:rsid w:val="21603540"/>
    <w:rsid w:val="2332011C"/>
    <w:rsid w:val="24011B01"/>
    <w:rsid w:val="261F3F85"/>
    <w:rsid w:val="27F7686E"/>
    <w:rsid w:val="2B7ED06F"/>
    <w:rsid w:val="2D3D4257"/>
    <w:rsid w:val="2DDA0928"/>
    <w:rsid w:val="32B41128"/>
    <w:rsid w:val="35DE565D"/>
    <w:rsid w:val="37AE5168"/>
    <w:rsid w:val="3A3D4F53"/>
    <w:rsid w:val="448B464D"/>
    <w:rsid w:val="4B887C1D"/>
    <w:rsid w:val="4C115F9A"/>
    <w:rsid w:val="4C2537F3"/>
    <w:rsid w:val="4EE778FC"/>
    <w:rsid w:val="50446580"/>
    <w:rsid w:val="513525FF"/>
    <w:rsid w:val="520934A3"/>
    <w:rsid w:val="53093721"/>
    <w:rsid w:val="53B322F3"/>
    <w:rsid w:val="5DFF29E0"/>
    <w:rsid w:val="5EDF3AF6"/>
    <w:rsid w:val="5FD94BDB"/>
    <w:rsid w:val="64632CB3"/>
    <w:rsid w:val="68B41309"/>
    <w:rsid w:val="69CA7F8E"/>
    <w:rsid w:val="6B32428E"/>
    <w:rsid w:val="6B9F0575"/>
    <w:rsid w:val="6D464B59"/>
    <w:rsid w:val="739E1612"/>
    <w:rsid w:val="73EF1F12"/>
    <w:rsid w:val="75AF62D4"/>
    <w:rsid w:val="760E16AB"/>
    <w:rsid w:val="784244D4"/>
    <w:rsid w:val="7BC14284"/>
    <w:rsid w:val="7F921D31"/>
    <w:rsid w:val="AEFF9737"/>
    <w:rsid w:val="AEFFAB2F"/>
    <w:rsid w:val="DDFFD477"/>
    <w:rsid w:val="FADAB0B6"/>
    <w:rsid w:val="FFBBF84C"/>
    <w:rsid w:val="FFED0BA2"/>
    <w:rsid w:val="FFFB1921"/>
    <w:rsid w:val="FFFFE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22"/>
    <w:semiHidden/>
    <w:unhideWhenUsed/>
    <w:qFormat/>
    <w:uiPriority w:val="99"/>
    <w:rPr>
      <w:rFonts w:ascii="宋体" w:eastAsia="宋体"/>
      <w:sz w:val="18"/>
      <w:szCs w:val="18"/>
    </w:rPr>
  </w:style>
  <w:style w:type="paragraph" w:styleId="5">
    <w:name w:val="annotation text"/>
    <w:basedOn w:val="1"/>
    <w:link w:val="30"/>
    <w:unhideWhenUsed/>
    <w:qFormat/>
    <w:uiPriority w:val="99"/>
    <w:pPr>
      <w:jc w:val="left"/>
    </w:pPr>
  </w:style>
  <w:style w:type="paragraph" w:styleId="6">
    <w:name w:val="Balloon Text"/>
    <w:basedOn w:val="1"/>
    <w:link w:val="15"/>
    <w:semiHidden/>
    <w:unhideWhenUsed/>
    <w:qFormat/>
    <w:uiPriority w:val="99"/>
    <w:rPr>
      <w:sz w:val="18"/>
      <w:szCs w:val="18"/>
    </w:rPr>
  </w:style>
  <w:style w:type="paragraph" w:styleId="7">
    <w:name w:val="footer"/>
    <w:basedOn w:val="1"/>
    <w:link w:val="20"/>
    <w:unhideWhenUsed/>
    <w:qFormat/>
    <w:uiPriority w:val="99"/>
    <w:pPr>
      <w:tabs>
        <w:tab w:val="center" w:pos="4153"/>
        <w:tab w:val="right" w:pos="8306"/>
      </w:tabs>
      <w:snapToGrid w:val="0"/>
      <w:jc w:val="left"/>
    </w:pPr>
    <w:rPr>
      <w:sz w:val="18"/>
      <w:szCs w:val="18"/>
    </w:rPr>
  </w:style>
  <w:style w:type="paragraph" w:styleId="8">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Autospacing="1" w:afterAutospacing="1"/>
      <w:jc w:val="left"/>
    </w:pPr>
    <w:rPr>
      <w:kern w:val="0"/>
      <w:sz w:val="24"/>
    </w:rPr>
  </w:style>
  <w:style w:type="paragraph" w:styleId="10">
    <w:name w:val="annotation subject"/>
    <w:basedOn w:val="5"/>
    <w:next w:val="5"/>
    <w:link w:val="32"/>
    <w:semiHidden/>
    <w:unhideWhenUsed/>
    <w:qFormat/>
    <w:uiPriority w:val="99"/>
    <w:rPr>
      <w:b/>
      <w:bCs/>
    </w:rPr>
  </w:style>
  <w:style w:type="table" w:styleId="12">
    <w:name w:val="Table Grid"/>
    <w:basedOn w:val="11"/>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4">
    <w:name w:val="annotation reference"/>
    <w:basedOn w:val="13"/>
    <w:semiHidden/>
    <w:unhideWhenUsed/>
    <w:qFormat/>
    <w:uiPriority w:val="99"/>
    <w:rPr>
      <w:sz w:val="21"/>
      <w:szCs w:val="21"/>
    </w:rPr>
  </w:style>
  <w:style w:type="character" w:customStyle="1" w:styleId="15">
    <w:name w:val="批注框文本 字符"/>
    <w:basedOn w:val="13"/>
    <w:link w:val="6"/>
    <w:semiHidden/>
    <w:qFormat/>
    <w:uiPriority w:val="99"/>
    <w:rPr>
      <w:sz w:val="18"/>
      <w:szCs w:val="18"/>
    </w:rPr>
  </w:style>
  <w:style w:type="character" w:customStyle="1" w:styleId="16">
    <w:name w:val="标题 1 字符"/>
    <w:basedOn w:val="13"/>
    <w:link w:val="2"/>
    <w:qFormat/>
    <w:uiPriority w:val="9"/>
    <w:rPr>
      <w:b/>
      <w:bCs/>
      <w:kern w:val="44"/>
      <w:sz w:val="44"/>
      <w:szCs w:val="44"/>
    </w:rPr>
  </w:style>
  <w:style w:type="paragraph" w:styleId="17">
    <w:name w:val="List Paragraph"/>
    <w:basedOn w:val="1"/>
    <w:qFormat/>
    <w:uiPriority w:val="34"/>
    <w:pPr>
      <w:ind w:firstLine="420" w:firstLineChars="200"/>
    </w:pPr>
  </w:style>
  <w:style w:type="character" w:styleId="18">
    <w:name w:val="Placeholder Text"/>
    <w:basedOn w:val="13"/>
    <w:semiHidden/>
    <w:qFormat/>
    <w:uiPriority w:val="99"/>
    <w:rPr>
      <w:color w:val="auto"/>
    </w:rPr>
  </w:style>
  <w:style w:type="character" w:customStyle="1" w:styleId="19">
    <w:name w:val="页眉 字符"/>
    <w:basedOn w:val="13"/>
    <w:link w:val="8"/>
    <w:qFormat/>
    <w:uiPriority w:val="99"/>
    <w:rPr>
      <w:sz w:val="18"/>
      <w:szCs w:val="18"/>
    </w:rPr>
  </w:style>
  <w:style w:type="character" w:customStyle="1" w:styleId="20">
    <w:name w:val="页脚 字符"/>
    <w:basedOn w:val="13"/>
    <w:link w:val="7"/>
    <w:qFormat/>
    <w:uiPriority w:val="99"/>
    <w:rPr>
      <w:sz w:val="18"/>
      <w:szCs w:val="18"/>
    </w:rPr>
  </w:style>
  <w:style w:type="character" w:customStyle="1" w:styleId="21">
    <w:name w:val="标题 2 字符"/>
    <w:basedOn w:val="13"/>
    <w:link w:val="3"/>
    <w:qFormat/>
    <w:uiPriority w:val="9"/>
    <w:rPr>
      <w:rFonts w:asciiTheme="majorHAnsi" w:hAnsiTheme="majorHAnsi" w:eastAsiaTheme="majorEastAsia" w:cstheme="majorBidi"/>
      <w:b/>
      <w:bCs/>
      <w:sz w:val="32"/>
      <w:szCs w:val="32"/>
    </w:rPr>
  </w:style>
  <w:style w:type="character" w:customStyle="1" w:styleId="22">
    <w:name w:val="文档结构图 字符"/>
    <w:basedOn w:val="13"/>
    <w:link w:val="4"/>
    <w:semiHidden/>
    <w:qFormat/>
    <w:uiPriority w:val="99"/>
    <w:rPr>
      <w:rFonts w:ascii="宋体" w:eastAsia="宋体"/>
      <w:sz w:val="18"/>
      <w:szCs w:val="18"/>
    </w:rPr>
  </w:style>
  <w:style w:type="character" w:customStyle="1" w:styleId="23">
    <w:name w:val="样式1"/>
    <w:qFormat/>
    <w:uiPriority w:val="1"/>
  </w:style>
  <w:style w:type="character" w:customStyle="1" w:styleId="24">
    <w:name w:val="样式2"/>
    <w:basedOn w:val="23"/>
    <w:qFormat/>
    <w:uiPriority w:val="1"/>
  </w:style>
  <w:style w:type="character" w:customStyle="1" w:styleId="25">
    <w:name w:val="样式3"/>
    <w:basedOn w:val="23"/>
    <w:qFormat/>
    <w:uiPriority w:val="1"/>
  </w:style>
  <w:style w:type="character" w:customStyle="1" w:styleId="26">
    <w:name w:val="样式4"/>
    <w:basedOn w:val="23"/>
    <w:qFormat/>
    <w:uiPriority w:val="1"/>
  </w:style>
  <w:style w:type="character" w:customStyle="1" w:styleId="27">
    <w:name w:val="样式5"/>
    <w:basedOn w:val="23"/>
    <w:qFormat/>
    <w:uiPriority w:val="1"/>
  </w:style>
  <w:style w:type="character" w:customStyle="1" w:styleId="28">
    <w:name w:val="样式6"/>
    <w:basedOn w:val="26"/>
    <w:qFormat/>
    <w:uiPriority w:val="1"/>
  </w:style>
  <w:style w:type="character" w:customStyle="1" w:styleId="29">
    <w:name w:val="样式7"/>
    <w:basedOn w:val="26"/>
    <w:qFormat/>
    <w:uiPriority w:val="1"/>
  </w:style>
  <w:style w:type="character" w:customStyle="1" w:styleId="30">
    <w:name w:val="批注文字 字符"/>
    <w:basedOn w:val="13"/>
    <w:link w:val="5"/>
    <w:qFormat/>
    <w:uiPriority w:val="99"/>
  </w:style>
  <w:style w:type="paragraph" w:customStyle="1" w:styleId="31">
    <w:name w:val="p0"/>
    <w:basedOn w:val="1"/>
    <w:qFormat/>
    <w:uiPriority w:val="0"/>
    <w:pPr>
      <w:widowControl/>
    </w:pPr>
    <w:rPr>
      <w:rFonts w:ascii="Book Antiqua" w:hAnsi="Book Antiqua" w:eastAsia="宋体" w:cs="宋体"/>
      <w:kern w:val="0"/>
      <w:sz w:val="24"/>
      <w:szCs w:val="24"/>
    </w:rPr>
  </w:style>
  <w:style w:type="character" w:customStyle="1" w:styleId="32">
    <w:name w:val="批注主题 字符"/>
    <w:basedOn w:val="30"/>
    <w:link w:val="10"/>
    <w:semiHidden/>
    <w:qFormat/>
    <w:uiPriority w:val="99"/>
    <w:rPr>
      <w:b/>
      <w:bCs/>
    </w:rPr>
  </w:style>
  <w:style w:type="paragraph" w:customStyle="1" w:styleId="33">
    <w:name w:val="Table Text"/>
    <w:basedOn w:val="1"/>
    <w:autoRedefine/>
    <w:semiHidden/>
    <w:qFormat/>
    <w:uiPriority w:val="0"/>
    <w:pPr>
      <w:spacing w:before="64" w:line="284" w:lineRule="auto"/>
      <w:ind w:left="18" w:right="30" w:hanging="7"/>
      <w:jc w:val="left"/>
    </w:pPr>
    <w:rPr>
      <w:rFonts w:ascii="Times New Roman" w:hAnsi="Times New Roman" w:eastAsia="Times New Roman"/>
      <w:sz w:val="24"/>
      <w:szCs w:val="24"/>
      <w:lang w:eastAsia="en-US"/>
    </w:rPr>
  </w:style>
  <w:style w:type="table" w:customStyle="1" w:styleId="34">
    <w:name w:val="Table Normal"/>
    <w:autoRedefine/>
    <w:semiHidden/>
    <w:unhideWhenUsed/>
    <w:qFormat/>
    <w:uiPriority w:val="0"/>
    <w:tblPr>
      <w:tblCellMar>
        <w:top w:w="0" w:type="dxa"/>
        <w:left w:w="0" w:type="dxa"/>
        <w:bottom w:w="0" w:type="dxa"/>
        <w:right w:w="0" w:type="dxa"/>
      </w:tblCellMar>
    </w:tblPr>
  </w:style>
  <w:style w:type="paragraph" w:customStyle="1" w:styleId="35">
    <w:name w:val="修订1"/>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4.xml"/><Relationship Id="rId7" Type="http://schemas.openxmlformats.org/officeDocument/2006/relationships/customXml" Target="../customXml/item3.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glossaryDocument" Target="glossary/document.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GBC22222222222222222222222222222"/>
        <w:style w:val=""/>
        <w:category>
          <w:name w:val="常规"/>
          <w:gallery w:val="placeholder"/>
        </w:category>
        <w:types>
          <w:type w:val="bbPlcHdr"/>
        </w:types>
        <w:behaviors>
          <w:behavior w:val="content"/>
        </w:behaviors>
        <w:description w:val=""/>
        <w:guid w:val="{E8975CD8-AA4F-4D77-B72C-58EE482ADE73}"/>
      </w:docPartPr>
      <w:docPartBody>
        <w:p w14:paraId="47F88FA4">
          <w:pPr>
            <w:pStyle w:val="5"/>
          </w:pPr>
          <w:r>
            <w:rPr>
              <w:rFonts w:hint="eastAsia" w:asciiTheme="majorEastAsia" w:hAnsiTheme="majorEastAsia" w:eastAsiaTheme="majorEastAsia"/>
              <w:b/>
              <w:color w:val="333399"/>
              <w:szCs w:val="36"/>
              <w:u w:val="single"/>
            </w:rPr>
            <w:t>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E8A"/>
    <w:rsid w:val="00032CF6"/>
    <w:rsid w:val="000343D6"/>
    <w:rsid w:val="0004422D"/>
    <w:rsid w:val="00046446"/>
    <w:rsid w:val="00051238"/>
    <w:rsid w:val="00064914"/>
    <w:rsid w:val="000777D0"/>
    <w:rsid w:val="00091B04"/>
    <w:rsid w:val="000927E9"/>
    <w:rsid w:val="000A3E63"/>
    <w:rsid w:val="000B72CA"/>
    <w:rsid w:val="000D5200"/>
    <w:rsid w:val="000E3071"/>
    <w:rsid w:val="0011090A"/>
    <w:rsid w:val="00111BD1"/>
    <w:rsid w:val="0013460A"/>
    <w:rsid w:val="00145670"/>
    <w:rsid w:val="0016580D"/>
    <w:rsid w:val="0019225F"/>
    <w:rsid w:val="001D5BCD"/>
    <w:rsid w:val="001D6115"/>
    <w:rsid w:val="001E3EA0"/>
    <w:rsid w:val="002143E6"/>
    <w:rsid w:val="00256D89"/>
    <w:rsid w:val="00267098"/>
    <w:rsid w:val="00282A8F"/>
    <w:rsid w:val="002E4793"/>
    <w:rsid w:val="002E6255"/>
    <w:rsid w:val="00306E3D"/>
    <w:rsid w:val="00316D69"/>
    <w:rsid w:val="0036106E"/>
    <w:rsid w:val="00376DD0"/>
    <w:rsid w:val="003810DE"/>
    <w:rsid w:val="003906EF"/>
    <w:rsid w:val="003A17F8"/>
    <w:rsid w:val="003B04EC"/>
    <w:rsid w:val="003B50D8"/>
    <w:rsid w:val="003D385E"/>
    <w:rsid w:val="003E041E"/>
    <w:rsid w:val="0043069B"/>
    <w:rsid w:val="00495DE2"/>
    <w:rsid w:val="004A1379"/>
    <w:rsid w:val="004A2790"/>
    <w:rsid w:val="004A4D38"/>
    <w:rsid w:val="004B104B"/>
    <w:rsid w:val="004B2A73"/>
    <w:rsid w:val="004B46C6"/>
    <w:rsid w:val="004B72D1"/>
    <w:rsid w:val="004E2C00"/>
    <w:rsid w:val="004F1BA3"/>
    <w:rsid w:val="00505B16"/>
    <w:rsid w:val="00524560"/>
    <w:rsid w:val="0052623E"/>
    <w:rsid w:val="00535D5C"/>
    <w:rsid w:val="005409B4"/>
    <w:rsid w:val="00541ABD"/>
    <w:rsid w:val="00554BBA"/>
    <w:rsid w:val="00564EDE"/>
    <w:rsid w:val="0058791E"/>
    <w:rsid w:val="005A02F7"/>
    <w:rsid w:val="005B1E3A"/>
    <w:rsid w:val="005D54A9"/>
    <w:rsid w:val="00602E7D"/>
    <w:rsid w:val="00633C9B"/>
    <w:rsid w:val="00645CB1"/>
    <w:rsid w:val="00650792"/>
    <w:rsid w:val="00687612"/>
    <w:rsid w:val="006B7BE4"/>
    <w:rsid w:val="0072633B"/>
    <w:rsid w:val="00734AD3"/>
    <w:rsid w:val="00752860"/>
    <w:rsid w:val="00765580"/>
    <w:rsid w:val="00777D46"/>
    <w:rsid w:val="00780325"/>
    <w:rsid w:val="00781254"/>
    <w:rsid w:val="00781F4C"/>
    <w:rsid w:val="0078693E"/>
    <w:rsid w:val="007A02EA"/>
    <w:rsid w:val="007A0348"/>
    <w:rsid w:val="007A4890"/>
    <w:rsid w:val="007B1DA5"/>
    <w:rsid w:val="007C7D34"/>
    <w:rsid w:val="00800822"/>
    <w:rsid w:val="00846FD4"/>
    <w:rsid w:val="00851D98"/>
    <w:rsid w:val="00932870"/>
    <w:rsid w:val="0095546D"/>
    <w:rsid w:val="009830BF"/>
    <w:rsid w:val="00985796"/>
    <w:rsid w:val="00996F77"/>
    <w:rsid w:val="0099798A"/>
    <w:rsid w:val="009A3853"/>
    <w:rsid w:val="009C514E"/>
    <w:rsid w:val="009D0A97"/>
    <w:rsid w:val="00A10E8A"/>
    <w:rsid w:val="00A214F0"/>
    <w:rsid w:val="00A3150D"/>
    <w:rsid w:val="00A41B15"/>
    <w:rsid w:val="00A76F92"/>
    <w:rsid w:val="00A808AB"/>
    <w:rsid w:val="00A86D8A"/>
    <w:rsid w:val="00AA1850"/>
    <w:rsid w:val="00AA1CD6"/>
    <w:rsid w:val="00AA5D37"/>
    <w:rsid w:val="00AA6A65"/>
    <w:rsid w:val="00AB46B1"/>
    <w:rsid w:val="00B84331"/>
    <w:rsid w:val="00BA1417"/>
    <w:rsid w:val="00BD5113"/>
    <w:rsid w:val="00BD611D"/>
    <w:rsid w:val="00C01254"/>
    <w:rsid w:val="00C1573E"/>
    <w:rsid w:val="00C24685"/>
    <w:rsid w:val="00C278FF"/>
    <w:rsid w:val="00CA0358"/>
    <w:rsid w:val="00CB6A47"/>
    <w:rsid w:val="00D047C8"/>
    <w:rsid w:val="00D179CB"/>
    <w:rsid w:val="00D26A94"/>
    <w:rsid w:val="00D316FF"/>
    <w:rsid w:val="00D711C1"/>
    <w:rsid w:val="00D74505"/>
    <w:rsid w:val="00D839D6"/>
    <w:rsid w:val="00DB1BD1"/>
    <w:rsid w:val="00DB5C2D"/>
    <w:rsid w:val="00DC38EF"/>
    <w:rsid w:val="00DD166E"/>
    <w:rsid w:val="00DF2409"/>
    <w:rsid w:val="00E717CD"/>
    <w:rsid w:val="00E93D68"/>
    <w:rsid w:val="00EA05B6"/>
    <w:rsid w:val="00F143C9"/>
    <w:rsid w:val="00F476B3"/>
    <w:rsid w:val="00F774E5"/>
    <w:rsid w:val="00FB76F7"/>
    <w:rsid w:val="00FD227C"/>
    <w:rsid w:val="00FD6572"/>
    <w:rsid w:val="00FF0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qFormat/>
    <w:uiPriority w:val="99"/>
  </w:style>
  <w:style w:type="paragraph" w:customStyle="1" w:styleId="5">
    <w:name w:val="9F3DF1A127DD4BAF8FE0AECC20C48225"/>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mapping xmlns:m="http://mapping.word.org/2012/mapping">
  <m:sse><![CDATA[mlOYf2i7YClhLCkBrG7s8tHKKV6aUo4dgwSl2m7/EVQSYuyS7sVrHB50HeWBQqJSsFXTA+6T05EO9eqqHa+55iFIf9zDd0CgCsKh9mEmyVY0nkLxF6OU67rf1y0mXQIdPTphCD3EK3Lh7KksrHpxS1miIJ+zwuor3MxEkSSl8ebqwe0cuFz/JhVSwzo8e4lKDrY7Oj1Ecxb4vO8JvVoSi+2UDQBlBKEOpbTKqYHom/0IhtmxdZ5q/w6qlJu4a87F+rUlsCBruD3fLvuKrY7OS2LlDG6WB6iCvOg7rR6oVvKC0fZkQbB3IpebdUW81VlNGkIjafLbxOKF+oLqX7sNVbxAbeHpLwbrQq/i6h1JrLUK7h8fQ+TGBtdCBLzuLbPMcHXx5Ic1FTZP3NHY08GnzYw67E4MXUXvSnXfllmdIEjREY9tKlVgCSQ8DN+Ul2Kg4OoiuQc/e9VaBnh2whR5TRwWxTrYaEBPyr6CXp+6KgLVWDpiRF28RA0vt1XBEQ4R+ksaYHXD26t1cZWt+ypJGOJMXuUB7TrO5FwV5+W1efKSWwFcBoUX37MAEmA1ECsbcqcJoKHCxGGFp9aCjaI1ieqFPYoRgeu1sgJruGzJAqKJmABtIFT3aYdxtRsSRB+ehP2mP6bG89XQjnZYSsqfrXSHiIM4pmxZCFfBg2evche74hJYQ41yHDgiOcappvujXGYjm489vzcHvOzBm189z0lDi0PnZ+YcPAz0q9E8nZmBKGEqiFfPZb77i+MESKXYf6ixGrb7S7L9p3A9M7FBofunvU3aKb3Bp0hyD8AWc/Yi/gzxhNeUPp2yyYfcTZ4cijQvmLWyKLsOo/V0HzAXcpS73O3XrSI3GPU8Olop2YsmayfAbml4Z+/SI9j+MHzsj1Y1PVW6yuorqsyywy/zde2ooh8DeAzP+B8iZ0FL1aNWbczyd+kiEgoyzdyl4a4pCOBP6Dz8f1X6tPPvI+tmU76S8OTvVZN4zUfvmDyhwjfOrImJHljvm35FIbtfJIzECyX9LAmbf9pDbaGRpiH3ZEsSWzhM/TNr7YPX7sUYxwRk4fzR5OaslovKvuce4INvNyf8JmbcV3FQutL66v8RSIE4oKNfPBi5WKiTTOWsI5JJifFNWVc9Po881VVM3ojedzAU4VeQgN/ifJ+IflmiS/1hE8xh3oR8koPaur9jVTTRiZ8TRO9YpR0UyJvOOykbdumg8o1M3qNKzzEg90bWb+PwtBdO2ZI2lLjnhwkwf8GAih8nPuRT1unzhu5CJ/50H+HwyvDoZ7juuLgdhLJvMbtWqFXglZnKae35eSZTUlhPX7UzqoMjMDF2jVD9dS2FsvybFW/FtQrXi04eE5/lQL/jE2/lTfcVTODbfmhN0zZyYerOQSMgXqqHzACBNn69P/ydJVPZdMwgnclFAW35R6Oea/KWaP38KQlawIdUFJ1c0lHagdNZVuGx8miE7PyWUmGHJTzQr/95K/uOXM411N/XiHlFniFpG4O66SUfsgrzCfqyeYme9XqLTYcRVch6PlTiXUQDP5/OTf7pf+cLJVVN41Dg6TOcwybwifDywnw=]]></m:sse>
</m:mapping>
</file>

<file path=customXml/item2.xml><?xml version="1.0" encoding="utf-8"?>
<sc:sections xmlns:sc="http://mapping.word.org/2014/section/customize"/>
</file>

<file path=customXml/item3.xml><?xml version="1.0" encoding="utf-8"?>
<b:binding xmlns:clcta-gie="clcta-gie" xmlns:b="http://mapping.word.org/2012/binding" xmlns:clcta-taf="clcta-taf" xmlns:clcta-fte="clcta-fte" xmlns:xlink="xlink" xmlns:clcta-be="clcta-be" xmlns:clcta-ci="clcta-ci">
  <clcta-gie:GongSiFaDingZhongWenMingCheng xmlns:clcta-gie="clcta-gie">股份有限公司</clcta-gie:GongSiFaDingZhongWenMingCheng>
  <clcta-be:GuDongDaHuiZhaoKaiNianDu xmlns:clcta-be="clcta-be"/>
  <clcta-be:GuDongDaHuiJieCi xmlns:clcta-be="clcta-be"/>
  <clcta-be:GuDongDaHuiZhaoKaiShiJian xmlns:clcta-be="clcta-be"/>
</b:binding>
</file>

<file path=customXml/item4.xml><?xml version="1.0" encoding="utf-8"?>
<t:template xmlns:t="http://mapping.word.org/2012/template">
  <t:sse><![CDATA[mlOYf2i7YClhLCkBrG7s8tHKKV6aUo4dgwSl2m7/EVQAbeamTrptQEr4LP6iL5/Ue26OstYD9PMjbWzFbUqJyENfb9ImfAkJNl0weP5Zs4HFGB2Qug5UJMGdDky4oK/UwLy1GEEPWjPqp5ABqRKwlvpaT6ij3gD6JM5MXmvNbfCsOi7LGxFnVaoIuxiTPaZN9M2LAPx2o4j3pCvV2bZOMqdCOwQhWx2NfBl4i4Tyy6kAuIc9zjL8bAoVWl/bzvn3u5/aQyUZO0UdYx0ZTFG9vPgrCgGPp/FNtWfOeHRPKMuFWKk2mfr1i/2NNYXMeYGQ7/3zSIs7Fqviqlr9JVEE4cW7HCfAu0Tbq/z0N97xEbjThxe2FiP8ock4MSvmzAQD2gyuV1+vrTz83b1X+EIKFaKqTirWqjqbd1eZWi3WZL8K9GcZIA17D7+SgjYBSxlmEXFmEamjDT3/rCbhV74yPTbumf8hJOC/wfIopJytjyfnbNKhGYE/tcRA6yp+0sjwt8mf5nqCQDzHlAFGDGtX6B4MTYh3gsZ0xO1Fe+uDqZvDx3vVj+tYD59f2u1K8LyLDh0rqeFW1B4hWXWyZea5iRqBXUBkwKX9aLMk0jH64IgKkKYbAzqqkY9JEwGXGwLV8KOs+kpwbwWcT8zAUHLDrcAXVw6bLJbNnL6jKI2MTXSyMRmaxl62beapZMtuqTeRex8bkIqjAT13s6ioAu/k+wFdGupb9XAArfvrqtUORIY6bjtyF/rcxfYzYazKFSrnmn3SXNCpPCwpJISjtR/xxJzhUzr3097g/8veqmIy343lojQPmF+psPmmZrauvsYDrKYOa5FPT/OTk/vJThthTtmBn1JfIw8ZPDqOp+OiE55Rcbe22V4cMIJGd76tTvtml4JOlWbIc82N71/67cD5gmYzvxpcDHox/tYSxi863S3+T0KGddOK6nPc+rjqgR/ckIbKFMD8maKrC4zSN+cpXWCSwYL7kRFrQnbq1nWpog2TBpSFYJwMwQCj7hv7YJ2i52cRg5uHQL+2ijquebeORX4IlMtrhbPJ3jPIUEZham9DHMz2fG16Pc2MqHvODR771ZOgXHglSu/RacgZVG99556Rk/+qOJhHj6SRb/qHRa4NwJtNpmWCjtUhhZ7P4PE0hfTMRxcYOX1fvfhYbDGz0j9aIMNnJ3h6496r/T0mb1jC8749rTgxnYa6hu5wsPl4K0G5TyZDL7PjgiIe9vm1GQFSjwrC+20d2lVrpx4lrZTeTidUXFxRbzT/W8ZqTc/ulCP6bFORLxsf98ue038h8/7B8ZYRRrUzjfwYsq1UV3EcTGEmgG0bFOVep/IciiP4aIZEdN9eBQhmY2BsahieBitLES588Y0bB2R2It03DBVisULHSuqRQXy5toHUtGc1w+CGsOkxIp94pVMJDLaom+9YKoJUzzn2EzQR8RrMKjWjPO3zd5gT1Unqup1/1/akCYpU4/Q+BahcKG6zFYm2ehjDymrUuJxe83jbanDIwoxoStEI7z6lqXLhUswwaHYH9KJd/Nh/q4wF/wnUnckZeKXfFdm2KVrNtxSn/2UdVCsBEdt0vSayd6nuIgtINIFc4bNUoEGAVzm1jSi8qMJ4CR9DCsVuQrVO33zF0QbfvULdVTXxEmMOaZstuO4ohwCfgv3kzm0Ik6xzxWYJYZBb1qRm042CdWl0ey/XrAL0lwRDej80TbVSrrboYWrOablDYiibug24FRDnr1GA4N7SCxb3NoxclFAdE+QLCOU/AZFShEWFkUokf4juOenRU5DXEUT183RqUbu1JiSM6ezO9ZhYmgDR40VvdprvTFnd56jm6Ab8JjjRagyDZF9PTni2mpztGDrgWpkXDXwin5x0r8OehrJeqMS3KfTHLWaUImpRo8IooS0tC+SuuzT265lfroSxEMevuQhKLtB3kekB+lM7Uaw5mVB6gQwQYoOQDIk7MrXbvVhUVhMKZa7bUH8AALPN0aeHFOIRQWto0IWis8cyJ3xBoJDYafOkhOUZ+nZzHWYR5yQgV9j6dh+R7XV46LoYk+v+BjMixO4TsUUni+ynPsJX1K5cc/ufImajLlBcDWvDbm+M26sMzO2AJS4o1+IY2sGl6CYSrqxZ8HkBfuq/PkX0A73b9VWZWWDlVNwOuFKiUGB3QrhGfR8IKeSJCCF99fRV9HF9pgF0SXV+oAN3FUb5RPaaC73ikacb3lYnNIgF54P+ec7e4qBiuWc7cLgXOAIXffFxBjrA/T53OanpT++IP6SaIA/lYoGWTXZFqIySlbvmC5aEdaC9ByMXAy8RxF6bq+jzgeUc2z5kgXHbnVDvTWiWcAAjHOtzlHoWjGJ/tUMNPhP927C5DYEkf+882rHP+kY2+HWUsEz3RJrfHpIbiGVfr8k33Uhts+MWUz78guHCatPssFcLvLGFuMz3fZbdZluhBoWdXMeznnopEtj6qNEZnhGIjtHm5WSwPVsH72JKoIvmdQFhksweh0LZv4sozCv8EVqEF6q+pCOPVwFXQenrqdNKAfpQnoIS5Hq655vHG0jOmy/T4DOnIbfy2W2r91mdF/qbRBf+njVYtwHIi4fCoe4kyTOZRrv5bSXZDSjluJ+jseyd5itnw8T7wT+gvl5jRf8UDEguQ0h1i/gUr/Kk2SUm23WDaBO7tsCwH7ZLk3W9YqLSZqv6OQP3kzZYeFID5KN9EfXR0uxEsrecazCls2MTJGI5jPivGWpDzQc1MxB4dLea35/NZK6OnMZKzW56PQA7r6drhmZXPzZMoW6jPcw+wAoOOy79P2isXQtH0IGzOlvayA8VKgVOizdWhgVkpXXm2YJHnR31Kj6VNItQRddYnM41ys8+ok5FF7oDcW8MNKhRECitMM8yrdyZ/VzYsLLDraMCqIZPO4TWMLhTM+eOWZtD0QTKa0HczyUHhZDWjNM2sFgvHy9dZgNLXFe/KFMbfZ8soimS9E9ehBFizGe3ggyY39r/O692wgzzE43ewqZkTpT9kQmPoJQ3EwSP2K9cXpjtNOpe2IKVBanM8K8ibxeiDhQhPH4qLW5VoPSiELLdLrmyfqS2GzZJ2+AZ8FPZzBv8JjOm8rS6gt7VBMTiWTNzZ/kCkQzgc58zRM06GJ4hD+cl7jljD/uX3Ln0lutyTXorEDu60t2tx4dS3xON9UwpZ5BOfAuizqLfNKlc5uut2T0DNq76JMSSBGRyD5nxdmLvSTa/eMIqTA/Bi06UIDEq6EiSpIar+ds9mgo5MAiCN5TV0u0kA2ObUjULbIsOUtXF496ydmx47tJUNKMozyg1zYFOOkp2Npf5GPLPI9xz1anGMUBMSNU23AnVj1mdTo3FGqvoHraknGImOmQYkttZuNJzgW6YE6hrOUTxfLAUXgtICjmfSoDAcJ6k/iaSCZhqGf2rkQCos6n3V11YqqRNdEeW9W2JY6Aydzbc8/4VJ98/05aWqgzqZZK4+ddVLDXLsvIwX6LlMygmVhivOZHgKJowvna37bFmO2u/0XMWvXcmJYY40l8bfvpXiDoIG/ldrS2uaaFlh6Gs2i9tyM/p3GLbcrQtyYpjWEpnuGvTctbyUGqk6soeScL9+dki0y5/wJOrc8nd5KQkfpdiarV9wGppMzu64KH/n7zH1pGfp8wRl3dWYi3gr+swjjGsHA3ZRuVPEWpKM/FSwwfZTNbuIhar5i0KGblxqMcUS8vG1ZrZZ7zVfcwO6LoCnViBlinmnAtqwhX42LvbZkIvPtS0zfb4bg+fMQTDgT9IAe+K+in0qsIz3133XgvOheLgGy6ikI/tjK4EnSlgSp7vMsdgZCNIW4CsM31XrrLHEI6y4x9dcw8IoRiAMAMtd9Tvf/emsHZYAhpVWCv3pnFzXi7SUesOa7tyB0ZbBUliob7rlGIE1TSGL7QcERA9W7kybHNL2dVeUXY9b2D0AaKS+jwLELyxJzxLeIGsp+wpsBdKQ/f2JYnQXfkW6GBxVaf3JSMVAHdiMlUgjK8RBv9ccLWffv8Gmq68RI8pxDYTGUBqQzSRsvd4OAZ2MakD5w5If0pw5jMjAMgzXMtF8v8e4nBs2C4AteAnb7uze2TH8+eudOQmDTUs4+P6tmt/7taP21ir8R8qTN6YmwnThj0s0/atdJ1i0OiCgiALVaM8Qg3lXy4RfwUM4lGl+cvh0o2mp+9w6Oe/Umh9jFBAdSut156OfK2Yw9mMOpepE69kwKcMqwfZcRESBc45QeePVcKb3lSfyeawfB64wj0ektIlzJwL57Dpvk9NcpDUDcB44fknJY3NHCGp6ruIP9s+hAS1fk/Xe26gYbkopY8qZ9B7yh5O6ylmdTxf6vcHWyjbO5fiTxR1nE75z4c+YmuqSGadT4dSY31cVTHJBpeD8/Spm+b6F8ayB6SwNImOzapZOMfWuhTgPHonhlVZEcm2iXLS0INs7f1QoF2/dXL5N3Nas8hi4gpBAqYW4bOyaTHFt9qDgcs4bfNSLmoLrRFTSQEjBf+2H6xSj9iYdk9ZyJCG2I/nVkn8uz4JqqbKu66rlfFUHH3Q2eJTBeM9wJ9S0GMMhOyEr0ngiDOGTMaDtuWnweTRLUpNmn1QD52ug6b0VD7zdrIfoL5fD3/OY1ot/mPs6Se/hA9uvF4yqY66RvJuXumGiPZCqBiJS74DIRu7HQemci2UNRdDtaok3rHXASZPwYpRSz9fwU007ZseKQlChwFTHrhaZODsxQzB0OXDMINiW9wDNgXeSo+nGu7ndGqQRsUo5gaImtzlWNONff6MUixCX+gVQEoOU1n0oBFZkbk3v0jE5+A0S4mB7XihebEgJN2/x3ujJS87DWh72dxNUjfFFKaMTBMU6L5+cJfEEOeRGu8RUg4Xm7iiU61bGXXC6cI3dH0PH6EycdGLBTUlsUNh9hm+AIWfOmI09TbLhasOVZtCg2GlLqhiXB4XYP3t9zbZLEYVzatUt9+UKWQK2DCfgb4RAkWYWKhZHBXDy88q05JiLg62OhvtbC2YPp9ul4j00xbHCrPRWQUOXVWgufLy45oIoCqbmXS8O9mHxkFwPx1Iw5Jf7eqcZzptSV0vFBBFpAbGYB4zZ8wPBJgf5L9FTA/RHoWdvFm+IYsnWyjOq8s9t7INE4p7FfycrGZOEizF7sRVkYiI9cSa1tI7LvhFRqrdFfbkkBYQNi5GR/SDR+iE+AP1dK4lnjoDH7LtX6S/IRUwgINiUG63PEc8ANtuPUgbC+g5UCGM17oxZc0FbLKnRfYXEtcr7nzhdwPie23XBKEUdjhu2rga4lypBBbtxcyhrOzDKHLKOeR13y2ilExcW//wW96+xzPDHFbbFVNa0MoHlZG3T0pqM9exYCOiTla18AsVO+BR4T7vrSYd+6/k0vT1Ki9XV3ViroaX9V5GaBMIdn7T14XOxj0dDgO8BnLl6qdK+vaHHYGIM676UdapVw+5XETv05sDL86T4mmqfkIyGNVUBM/fDuC0CSBAmtO9wL9vKBXGFSTvy1FgVmAJMT+nXzbYvJ0UZkRAKCSKzbCTfxZcm2N1fkAsaaP/EKKq1A01B4M2AqVXHLqtMWXtyytrXBgBxEc70C/1o8QO5bgUrYTN8/6oCY+AGym3m9Sv0f5TUkiGrW24mkzCHBaRYUPSLcwUyVBwBRM5HXK6LgLfno/9a04UzkEIzHm9riNuD1j+tK3Eg0rjpdmV+ql4KQAGRP6YEyGBlBh4nF8GLvdS6CJFllVEnB+/hZH2KUV/bAa5KC+JtgAqrubTqDEg0qUWhvwRDm9ABZjMYBftxN/UK7yCpHDCgmjF0larrO99iEGqPXWEBfq/IjL+xBq4/bwhdJeNwClE3xdpdvOvbv9F7ZX/aY2KTBD6IvAzq97S2VxkrxAbT+yev0nWboRz5P7DLV5loob4uf6xdbF0JozyKH9YCOJez/1FR4Qn/XnJLsmvUnyBjDekQvNnPkpgi5MVSv0bY0Hj09Af7wYhO0d0bAUNIOPufwdwduzX9i4Mrc9hf92fxmQGuT9IheNYq8M3S9taCxW2BfGv6SxwgTlD+xbs9rYMnudTHZcgXBqW+02ZAyqu5S2S1mR2bEvepQFUdTLhbv/Ur+n+2Au555/07+uXKh9pDyjceTeQ+a6EDZwUXfhss/3mWamcmBpP2M2UP5kfC4YvW5xZXR6DVcl6AljO35UfI53DLzHe9jVIdDZlxOOejxG9VdPtGrMrBb/SHWKUKrTCIinM+dedMNJ487VO7WMVEaL8nha0h/HNsGbO/6FAwQCV5tTP4V3cdqWbQpBE0Xjsd1B9fiEVP9D0wEhCCRNhMu9shXsAw7+Eoz8FUxkRLwFmzvOJF8SuZw4+WKbQ2sM02XXmIn+e/jERmmXu+1sAJC2cw5lmEvhKh2AjL91gJmuUpZYxZRe1pLcOgJnR0DMBQsFU1WRJiEP2iFdMZVX3rsGYAOrfNCDy6fPkdvB5BFRZb16mVqVEzq1gzpphQ9RjiMgfjVBBwdf0SXQt5q0Bz+WtYNvFOOo3VgMkDSssZ3qruyDHGa6SmcELxaZWvZWQvfjIK53QyesHLyNn4Wx0hJ6ZvQwav1GKaY8D3lz75SCRTRELTpKnKWMfG8DVau9KoZIT3GJjrBf0dE2+pxRdQnVDnjxrlNoPFFrTxVt/wCcVmK3oTSdKsredgSqQNCkijhCcgKiKImp99aeThI+FDwKedkk7wYMapQqgiAWoWl5lRU2G/T5geErzj9kJSHNyVpDiljLqtzS/h4dpd6nDVOjyGu9qJb/pWkV4I9OxkNhzsVwcMn8v/WPMati98wmx/qsOPU838IPvpZ0Ed4Y/AFE2EMJNV/aG185GejDYkqgP9Fh2JRNUwWrcAJHKtnklyQCsjgn9PSVxCTGKXRaLsOyj8cPE2r1twYwHhP3/TA7enIkeSohB3T7FMt4dXSG785lfgHePN6SW5m7IkxPmyyzVZXJEFj8q3JkcR+0vPPOy+DEsbQhtyIe13VuxMj/9+enw5eBGxUrHU2lc/LNUe6GCQ+kqJAyXdeK5+M+vQvSFwXWnm9fxVWNjU+q3hPXtu0lMPp2Qe/X4etmbRLuOrdYbRqLGwYYtXJE2giYFhvo6GEaVlvHkR4ILRojdYGb3kksbPD3nq0tzIZWlbRzMh+L/Du9SY5kysCbSoIVY4267PlDFMZ2uo8SrV+sTllXe4zG8CcEpGeY4Vic+z8y5TjcTb08JLr6Xjao+oyjotOgr3s7JDzwyT58iE3C786AbacAouQ+u6a0sdYr44HmBelGNp42HpkJyC13umELTg6w26yzgO08awrGoC4DpV1gmQlO9th9nN70rW14aeUUbYxp3kApJuMavbF3ZWKeEOGnbY+hxlaxX3hOH1DZ/dPH+5fBmpkQed5M6dns7clbygDSS0WzIDRM0/T06wEtc5b9+KCcapt6OOx8BSrjHFxFBPtYzvTTKbdD1NllufgYm4zADS/HnpwN86nYbyyiOx4+EyUndIAbg0+0x8zXEjY1o7lVFr/YSKoaR9rtvBd/mEG6+ZcrIsy4WEF+o8lQfiUcuV5+MmJdfLwrStdwWGlkzq7l6UkmStaUCJJyunm8zaSSEkc7j3eKFCZr2my5asDUKuG25BquRisr163vUvWL27ha+d2jBjZQ6paWmqDfYRJ+7wrrl7BDJXxqXKhERYr60pkY/j6BPNcimt7FYpQItBp2k0DMTh8YClha/2yLvTnOm2zPLjWj4TlcnZx/RwyFarVE44LzGH49S/aLtDDf3Td/a4HW4I6n+m6JHA2OoaKVqdgNESX5L2PaFXY/Eur2CuKDxku2oClhzacSBLbCMnKceGzVzOuMHs8i5VQQcxTwL210ZXIxdfxXyNWcnkvKSbeM5kzELYokFmZw1bZQ8/oe0DXIr7qoFYfurj8tKnm2eEof9nYQXP/EjBYoXVO+ISj76u4dNaqqI9Jjr+ddzi4AIZmxbCDzCswi+x+iNcNeVT/2gUt4ElF6Gft+Lrh867/VKyq1E0vK0KUMpmQSROYw1pRLPZdNO37CKnb/klPcu6UoMLwFu2d2N2XzPImw1GK5c4xfkQ2XdY9kE1I163EQ89ekVL1RIzP/1x6IVWwOytD2ROyEBQl9lJx9vIyC2KGgc9fiY0u5aOIne+Vvpoig9CcllEP74aQOb9tBoQpUZAEDc6CnpqOMUNBk6QHLGsQF7TUt0Q6/pFPn1MWZ0gtCDHRld5o5+Cnks0pDhWBRWvR+xHpG4Suewn2sDaikanSnQiphmYDMOvm5to2EkPDdHFXkthj8kNXc4w1A6leUqNylppVylPkycxCyFXE0YZ9oXhWeWCcEIdluwdT7ijuXqWekWZTH99i86nWoMSpPpio4LA3zc4mE0SS4m7hp01i7Z16HUD9G9eObqAzOzHagFohy6f5IquFv3QlhU4eEUE0y/Ajt23ASt4juD51nnLPFIOzgTPSyFL/epPRjlLgQBDk77gSrNuSq/KqKUVfgALxdZ3mDzJaCM9ft7Kljc8xMHMKuyT6p6FfN7tIp1hKxGPjN5hCthO7ZPHjc/DViX3nfjrvZrE/Wx2W8ovZwOxrNmMjtaBq4osq7ybD4WuD5fBI7EMDI1iQG4iRztcZF1dx8PliFcDgirhMD/autYH2wXtCnErMr1pe8ZHUracqDgdV6/6dw0e+LwTJOeQxksu+a7bhrSxxOz9fwWVxWoM5ZH6f1gxSEQS9xaPU+Y3vc2UfOxpQ==]]></t:sse>
</t:template>
</file>

<file path=customXml/itemProps1.xml><?xml version="1.0" encoding="utf-8"?>
<ds:datastoreItem xmlns:ds="http://schemas.openxmlformats.org/officeDocument/2006/customXml" ds:itemID="{6946C436-FBFE-4818-858F-57D7285C98D3}">
  <ds:schemaRefs/>
</ds:datastoreItem>
</file>

<file path=customXml/itemProps2.xml><?xml version="1.0" encoding="utf-8"?>
<ds:datastoreItem xmlns:ds="http://schemas.openxmlformats.org/officeDocument/2006/customXml" ds:itemID="{4511FAB5-2CDB-48CD-B312-58EE4B3BFC5C}">
  <ds:schemaRefs/>
</ds:datastoreItem>
</file>

<file path=customXml/itemProps3.xml><?xml version="1.0" encoding="utf-8"?>
<ds:datastoreItem xmlns:ds="http://schemas.openxmlformats.org/officeDocument/2006/customXml" ds:itemID="{BA98B501-917D-472D-AC19-F30F1EB82784}">
  <ds:schemaRefs/>
</ds:datastoreItem>
</file>

<file path=customXml/itemProps4.xml><?xml version="1.0" encoding="utf-8"?>
<ds:datastoreItem xmlns:ds="http://schemas.openxmlformats.org/officeDocument/2006/customXml" ds:itemID="{28DE9F88-9F06-4DAD-A8E5-DBEADED94CC2}">
  <ds:schemaRefs/>
</ds:datastoreItem>
</file>

<file path=docProps/app.xml><?xml version="1.0" encoding="utf-8"?>
<Properties xmlns="http://schemas.openxmlformats.org/officeDocument/2006/extended-properties" xmlns:vt="http://schemas.openxmlformats.org/officeDocument/2006/docPropsVTypes">
  <Template>SSEReport</Template>
  <Company>HP</Company>
  <Pages>7</Pages>
  <Words>1983</Words>
  <Characters>2513</Characters>
  <Lines>35</Lines>
  <Paragraphs>9</Paragraphs>
  <TotalTime>20</TotalTime>
  <ScaleCrop>false</ScaleCrop>
  <LinksUpToDate>false</LinksUpToDate>
  <CharactersWithSpaces>2557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2025-07-03T01:10:00Z</dcterms:created>
  <dc:creator>yangzhiquan</dc:creator>
  <cp:lastModifiedBy>雯亦</cp:lastModifiedBy>
  <dcterms:modified xsi:type="dcterms:W3CDTF">2025-10-10T07:07:44Z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eyJoZGlkIjoiZTQzZmRmZDMxMjkwMDE2NTk0ZWQ1ZWYwMzRmYjVhNmUiLCJ1c2VySWQiOiI2NDQwNzQxNTQifQ==</vt:lpwstr>
  </property>
  <property fmtid="{D5CDD505-2E9C-101B-9397-08002B2CF9AE}" pid="3" name="KSOProductBuildVer">
    <vt:lpwstr>2052-12.1.0.22529</vt:lpwstr>
  </property>
  <property fmtid="{D5CDD505-2E9C-101B-9397-08002B2CF9AE}" pid="4" name="ICV">
    <vt:lpwstr>E26656837DF74200B3E3561D447344AF_13</vt:lpwstr>
  </property>
</Properties>
</file>