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3B1FD">
      <w:pPr>
        <w:adjustRightInd w:val="0"/>
        <w:snapToGrid w:val="0"/>
        <w:spacing w:line="560" w:lineRule="exact"/>
        <w:rPr>
          <w:rFonts w:hint="eastAsia"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证券代码：</w:t>
      </w:r>
      <w:r>
        <w:rPr>
          <w:rFonts w:ascii="宋体" w:hAnsi="宋体" w:eastAsia="宋体"/>
          <w:b/>
          <w:sz w:val="24"/>
          <w:szCs w:val="24"/>
        </w:rPr>
        <w:t xml:space="preserve">603191         </w:t>
      </w:r>
      <w:r>
        <w:rPr>
          <w:rFonts w:hint="eastAsia" w:ascii="宋体" w:hAnsi="宋体" w:eastAsia="宋体"/>
          <w:b/>
          <w:sz w:val="24"/>
          <w:szCs w:val="24"/>
        </w:rPr>
        <w:t xml:space="preserve">证券简称：望变电气 </w:t>
      </w:r>
      <w:r>
        <w:rPr>
          <w:rFonts w:ascii="宋体" w:hAnsi="宋体" w:eastAsia="宋体"/>
          <w:b/>
          <w:sz w:val="24"/>
          <w:szCs w:val="24"/>
        </w:rPr>
        <w:t xml:space="preserve">      </w:t>
      </w:r>
      <w:r>
        <w:rPr>
          <w:rFonts w:hint="eastAsia" w:ascii="宋体" w:hAnsi="宋体" w:eastAsia="宋体"/>
          <w:b/>
          <w:sz w:val="24"/>
          <w:szCs w:val="24"/>
        </w:rPr>
        <w:t>公告编号：2</w:t>
      </w:r>
      <w:r>
        <w:rPr>
          <w:rFonts w:ascii="宋体" w:hAnsi="宋体" w:eastAsia="宋体"/>
          <w:b/>
          <w:sz w:val="24"/>
          <w:szCs w:val="24"/>
        </w:rPr>
        <w:t>02</w:t>
      </w:r>
      <w:r>
        <w:rPr>
          <w:rFonts w:hint="eastAsia" w:ascii="宋体" w:hAnsi="宋体" w:eastAsia="宋体"/>
          <w:b/>
          <w:sz w:val="24"/>
          <w:szCs w:val="24"/>
        </w:rPr>
        <w:t>5-0</w:t>
      </w:r>
      <w:r>
        <w:rPr>
          <w:rFonts w:ascii="宋体" w:hAnsi="宋体" w:eastAsia="宋体"/>
          <w:b/>
          <w:sz w:val="24"/>
          <w:szCs w:val="24"/>
        </w:rPr>
        <w:t>5</w:t>
      </w:r>
      <w:r>
        <w:rPr>
          <w:rFonts w:hint="eastAsia" w:ascii="宋体" w:hAnsi="宋体" w:eastAsia="宋体"/>
          <w:b/>
          <w:sz w:val="24"/>
          <w:szCs w:val="24"/>
        </w:rPr>
        <w:t>6</w:t>
      </w:r>
    </w:p>
    <w:p w14:paraId="2DA52D67">
      <w:pPr>
        <w:adjustRightInd w:val="0"/>
        <w:snapToGrid w:val="0"/>
        <w:spacing w:line="560" w:lineRule="exact"/>
        <w:ind w:firstLine="600" w:firstLineChars="200"/>
        <w:jc w:val="left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271F2540">
      <w:pPr>
        <w:adjustRightInd w:val="0"/>
        <w:snapToGrid w:val="0"/>
        <w:spacing w:line="560" w:lineRule="exact"/>
        <w:jc w:val="center"/>
        <w:rPr>
          <w:rFonts w:hint="eastAsia" w:ascii="宋体" w:hAnsi="宋体" w:eastAsia="宋体" w:cs="仿宋_GB2312"/>
          <w:b/>
          <w:color w:val="FF0000"/>
          <w:sz w:val="36"/>
          <w:szCs w:val="36"/>
        </w:rPr>
      </w:pPr>
      <w:r>
        <w:rPr>
          <w:rFonts w:hint="eastAsia" w:ascii="宋体" w:hAnsi="宋体" w:eastAsia="宋体" w:cs="仿宋_GB2312"/>
          <w:b/>
          <w:color w:val="FF0000"/>
          <w:sz w:val="36"/>
          <w:szCs w:val="36"/>
        </w:rPr>
        <w:t>重庆望变电气（集团）股份有限公司</w:t>
      </w:r>
    </w:p>
    <w:p w14:paraId="788648DA">
      <w:pPr>
        <w:adjustRightInd w:val="0"/>
        <w:snapToGrid w:val="0"/>
        <w:spacing w:line="560" w:lineRule="exact"/>
        <w:jc w:val="center"/>
        <w:rPr>
          <w:rFonts w:hint="eastAsia" w:ascii="宋体" w:hAnsi="宋体" w:eastAsia="宋体" w:cs="仿宋_GB2312"/>
          <w:b/>
          <w:color w:val="FF0000"/>
          <w:sz w:val="36"/>
          <w:szCs w:val="36"/>
        </w:rPr>
      </w:pPr>
      <w:r>
        <w:rPr>
          <w:rFonts w:hint="eastAsia" w:ascii="宋体" w:hAnsi="宋体" w:eastAsia="宋体" w:cs="仿宋_GB2312"/>
          <w:b/>
          <w:color w:val="FF0000"/>
          <w:sz w:val="36"/>
          <w:szCs w:val="36"/>
        </w:rPr>
        <w:t>第四届监事会第十四次会议决议公告</w:t>
      </w:r>
    </w:p>
    <w:p w14:paraId="268761C6">
      <w:pPr>
        <w:adjustRightInd w:val="0"/>
        <w:snapToGrid w:val="0"/>
        <w:spacing w:line="560" w:lineRule="exact"/>
        <w:ind w:firstLine="562" w:firstLineChars="200"/>
        <w:jc w:val="center"/>
        <w:rPr>
          <w:rFonts w:hint="eastAsia" w:ascii="宋体" w:hAnsi="宋体" w:eastAsia="宋体" w:cs="仿宋_GB2312"/>
          <w:b/>
          <w:color w:val="FF0000"/>
          <w:sz w:val="28"/>
          <w:szCs w:val="28"/>
        </w:rPr>
      </w:pPr>
    </w:p>
    <w:p w14:paraId="4A719FA2">
      <w:pPr>
        <w:pStyle w:val="1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adjustRightInd w:val="0"/>
        <w:snapToGrid w:val="0"/>
        <w:spacing w:line="560" w:lineRule="exact"/>
        <w:ind w:firstLine="480" w:firstLineChars="200"/>
        <w:rPr>
          <w:rFonts w:hint="eastAsia"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本公司监事会及全体监事保证本公告内容不存在任何虚假记载、误导性陈述或者重大遗漏，并对其内容的真实性、准确性和完整性承担法律责任。</w:t>
      </w:r>
    </w:p>
    <w:p w14:paraId="53A22A80">
      <w:pPr>
        <w:pStyle w:val="11"/>
        <w:adjustRightInd w:val="0"/>
        <w:snapToGrid w:val="0"/>
        <w:spacing w:line="560" w:lineRule="exact"/>
        <w:rPr>
          <w:rFonts w:hint="eastAsia" w:ascii="宋体" w:hAnsi="宋体"/>
        </w:rPr>
      </w:pPr>
    </w:p>
    <w:p w14:paraId="6627F7E9">
      <w:pPr>
        <w:autoSpaceDE w:val="0"/>
        <w:autoSpaceDN w:val="0"/>
        <w:adjustRightInd w:val="0"/>
        <w:spacing w:line="560" w:lineRule="exact"/>
        <w:ind w:firstLine="463" w:firstLineChars="192"/>
        <w:jc w:val="left"/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  <w:t>一、 监事会会议召开情况</w:t>
      </w:r>
    </w:p>
    <w:p w14:paraId="03401759">
      <w:pPr>
        <w:pStyle w:val="11"/>
        <w:adjustRightInd w:val="0"/>
        <w:snapToGrid w:val="0"/>
        <w:spacing w:line="560" w:lineRule="exact"/>
        <w:ind w:firstLine="48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重庆望变电气（集团）股份有限公司（以下简称“公司”）第四届监事会第十四次会议于2025年</w:t>
      </w:r>
      <w:r>
        <w:rPr>
          <w:rFonts w:ascii="宋体" w:hAnsi="宋体"/>
          <w:color w:val="000000"/>
        </w:rPr>
        <w:t>1</w:t>
      </w:r>
      <w:r>
        <w:rPr>
          <w:rFonts w:hint="eastAsia" w:ascii="宋体" w:hAnsi="宋体"/>
          <w:color w:val="000000"/>
          <w:lang w:val="en-US" w:eastAsia="zh-CN"/>
        </w:rPr>
        <w:t>2</w:t>
      </w:r>
      <w:bookmarkStart w:id="0" w:name="_GoBack"/>
      <w:bookmarkEnd w:id="0"/>
      <w:r>
        <w:rPr>
          <w:rFonts w:hint="eastAsia" w:ascii="宋体" w:hAnsi="宋体"/>
          <w:color w:val="000000"/>
        </w:rPr>
        <w:t>月9日在公司会议室以现场的方式召开。会议通知于2025年12月4日以邮件的方式发出。本次会议应出席监事3名，实际出席监事3名。本次会议由监事会主席李长平先生召集并主持。本次会议的召集、召开符合《中华人民共和国公司法》等有关法律、行政法规、部门规章、规范性文件和《公司章程》的相关规定，会议形成的决议合法、有效。</w:t>
      </w:r>
    </w:p>
    <w:p w14:paraId="1C84B2D0">
      <w:pPr>
        <w:pStyle w:val="11"/>
        <w:adjustRightInd w:val="0"/>
        <w:snapToGrid w:val="0"/>
        <w:spacing w:line="560" w:lineRule="exact"/>
        <w:ind w:firstLine="482" w:firstLineChars="200"/>
        <w:rPr>
          <w:rFonts w:hint="eastAsia" w:ascii="宋体" w:hAnsi="宋体"/>
          <w:b/>
          <w:color w:val="000000"/>
        </w:rPr>
      </w:pPr>
      <w:r>
        <w:rPr>
          <w:rFonts w:hint="eastAsia" w:ascii="宋体" w:hAnsi="宋体"/>
          <w:b/>
          <w:color w:val="000000"/>
        </w:rPr>
        <w:t>二、监事会会议审议情况</w:t>
      </w:r>
    </w:p>
    <w:p w14:paraId="23D931BA">
      <w:pPr>
        <w:pStyle w:val="11"/>
        <w:adjustRightInd w:val="0"/>
        <w:snapToGrid w:val="0"/>
        <w:spacing w:line="560" w:lineRule="exact"/>
        <w:ind w:firstLine="482" w:firstLineChars="200"/>
        <w:rPr>
          <w:rFonts w:hint="eastAsia" w:ascii="宋体" w:hAnsi="宋体"/>
          <w:b/>
          <w:color w:val="000000"/>
        </w:rPr>
      </w:pPr>
      <w:r>
        <w:rPr>
          <w:rFonts w:hint="eastAsia" w:ascii="宋体" w:hAnsi="宋体"/>
          <w:b/>
          <w:color w:val="000000"/>
        </w:rPr>
        <w:t>（一）审议通过《关于取消监事会并修订&lt;公司章程&gt;及其附件的议案》</w:t>
      </w:r>
    </w:p>
    <w:p w14:paraId="3605394A">
      <w:pPr>
        <w:pStyle w:val="11"/>
        <w:adjustRightInd w:val="0"/>
        <w:snapToGrid w:val="0"/>
        <w:spacing w:line="560" w:lineRule="exact"/>
        <w:ind w:firstLine="480" w:firstLineChars="200"/>
        <w:rPr>
          <w:rFonts w:hint="eastAsia" w:ascii="宋体" w:hAnsi="宋体"/>
          <w:bCs/>
          <w:color w:val="000000"/>
        </w:rPr>
      </w:pPr>
      <w:r>
        <w:rPr>
          <w:rFonts w:hint="eastAsia" w:ascii="宋体" w:hAnsi="宋体"/>
          <w:bCs/>
          <w:color w:val="000000"/>
        </w:rPr>
        <w:t>公司监事会同意取消监事会及监事设置，由董事会审计委员会行使监事会的相关职权，《监事会议事规则》相应废止，股东会审议通过后，第四届监事会监事职务自然免除。</w:t>
      </w:r>
    </w:p>
    <w:p w14:paraId="78D3DD9C">
      <w:pPr>
        <w:pStyle w:val="11"/>
        <w:adjustRightInd w:val="0"/>
        <w:snapToGrid w:val="0"/>
        <w:spacing w:line="560" w:lineRule="exact"/>
        <w:ind w:firstLine="480" w:firstLineChars="200"/>
        <w:rPr>
          <w:rFonts w:hint="eastAsia" w:ascii="宋体" w:hAnsi="宋体"/>
          <w:bCs/>
          <w:color w:val="000000"/>
        </w:rPr>
      </w:pPr>
      <w:r>
        <w:rPr>
          <w:rFonts w:hint="eastAsia" w:ascii="宋体" w:hAnsi="宋体"/>
          <w:bCs/>
          <w:color w:val="000000"/>
        </w:rPr>
        <w:t>在公司股东会审议通过取消监事会事项之前，公司第四届监事会仍将严格按照有关法律、法规和《公司章程》的规定继续履行职责，维护公司和全体股东利益。</w:t>
      </w:r>
    </w:p>
    <w:p w14:paraId="66BC9BB1">
      <w:pPr>
        <w:pStyle w:val="11"/>
        <w:adjustRightInd w:val="0"/>
        <w:snapToGrid w:val="0"/>
        <w:spacing w:line="560" w:lineRule="exact"/>
        <w:ind w:firstLine="480" w:firstLineChars="200"/>
        <w:rPr>
          <w:rFonts w:hint="eastAsia" w:ascii="宋体" w:hAnsi="宋体"/>
          <w:bCs/>
          <w:color w:val="000000"/>
        </w:rPr>
      </w:pPr>
      <w:r>
        <w:rPr>
          <w:rFonts w:hint="eastAsia" w:ascii="宋体" w:hAnsi="宋体"/>
          <w:bCs/>
          <w:color w:val="000000"/>
        </w:rPr>
        <w:t>公司监事会同意对《重庆望变电气（集团）股份有限公司章程》（以下简称“《公司章程》”）及其附件《股东会议事规则》《董事会议事规则》中的部分条款进行修订，修订后的《公司章程》及其附件自公司股东会审议通过后生效，原《公司章程》及其附件相应废止。相关内容详见2025年12月11日刊登于上海证券交易所网站 www.sse.com.cn 的《公司章程》《股东会议事规则》《董事会议事规则》及《关于取消监事会暨修订&lt;公司章程&gt;及修订、制定和废止部分治理制度的公告》（公告编号：2025-057）。</w:t>
      </w:r>
    </w:p>
    <w:p w14:paraId="1D9E8722">
      <w:pPr>
        <w:pStyle w:val="11"/>
        <w:adjustRightInd w:val="0"/>
        <w:snapToGrid w:val="0"/>
        <w:spacing w:line="560" w:lineRule="exact"/>
        <w:ind w:firstLine="480" w:firstLineChars="200"/>
        <w:rPr>
          <w:rFonts w:hint="eastAsia" w:ascii="宋体" w:hAnsi="宋体"/>
          <w:bCs/>
          <w:color w:val="000000"/>
        </w:rPr>
      </w:pPr>
      <w:r>
        <w:rPr>
          <w:rFonts w:hint="eastAsia" w:ascii="宋体" w:hAnsi="宋体"/>
          <w:bCs/>
          <w:color w:val="000000"/>
        </w:rPr>
        <w:t xml:space="preserve">表决结果：同意3票；反对0票；弃权0票。 </w:t>
      </w:r>
    </w:p>
    <w:p w14:paraId="073B6FFA">
      <w:pPr>
        <w:pStyle w:val="11"/>
        <w:adjustRightInd w:val="0"/>
        <w:snapToGrid w:val="0"/>
        <w:spacing w:line="560" w:lineRule="exact"/>
        <w:ind w:firstLine="480" w:firstLineChars="200"/>
        <w:rPr>
          <w:rFonts w:hint="eastAsia" w:ascii="宋体" w:hAnsi="宋体"/>
          <w:bCs/>
          <w:color w:val="000000"/>
        </w:rPr>
      </w:pPr>
      <w:r>
        <w:rPr>
          <w:rFonts w:hint="eastAsia" w:ascii="宋体" w:hAnsi="宋体"/>
          <w:bCs/>
          <w:color w:val="000000"/>
        </w:rPr>
        <w:t>本议案尚需提交股东会审议。</w:t>
      </w:r>
    </w:p>
    <w:p w14:paraId="7E0638C5">
      <w:pPr>
        <w:pStyle w:val="11"/>
        <w:adjustRightInd w:val="0"/>
        <w:snapToGrid w:val="0"/>
        <w:spacing w:line="560" w:lineRule="exact"/>
        <w:ind w:firstLine="48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特此公告。</w:t>
      </w:r>
    </w:p>
    <w:p w14:paraId="161CB3C5">
      <w:pPr>
        <w:pStyle w:val="11"/>
        <w:adjustRightInd w:val="0"/>
        <w:snapToGrid w:val="0"/>
        <w:spacing w:line="560" w:lineRule="exact"/>
        <w:ind w:firstLine="480" w:firstLineChars="200"/>
        <w:jc w:val="right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重庆望变电气（集团）股份有限公司监事会</w:t>
      </w:r>
    </w:p>
    <w:p w14:paraId="0148DFEE">
      <w:pPr>
        <w:pStyle w:val="11"/>
        <w:adjustRightInd w:val="0"/>
        <w:snapToGrid w:val="0"/>
        <w:spacing w:line="560" w:lineRule="exact"/>
        <w:ind w:firstLine="480" w:firstLineChars="200"/>
        <w:jc w:val="right"/>
        <w:rPr>
          <w:rFonts w:hint="eastAsia" w:ascii="宋体" w:hAnsi="宋体"/>
          <w:highlight w:val="yellow"/>
        </w:rPr>
      </w:pPr>
      <w:r>
        <w:rPr>
          <w:rFonts w:hint="eastAsia" w:ascii="宋体" w:hAnsi="宋体"/>
          <w:color w:val="000000"/>
        </w:rPr>
        <w:t>2</w:t>
      </w:r>
      <w:r>
        <w:rPr>
          <w:rFonts w:ascii="宋体" w:hAnsi="宋体"/>
          <w:color w:val="000000"/>
        </w:rPr>
        <w:t>02</w:t>
      </w:r>
      <w:r>
        <w:rPr>
          <w:rFonts w:hint="eastAsia" w:ascii="宋体" w:hAnsi="宋体"/>
          <w:color w:val="000000"/>
        </w:rPr>
        <w:t>5年</w:t>
      </w:r>
      <w:r>
        <w:rPr>
          <w:rFonts w:ascii="宋体" w:hAnsi="宋体"/>
          <w:color w:val="000000"/>
        </w:rPr>
        <w:t>1</w:t>
      </w:r>
      <w:r>
        <w:rPr>
          <w:rFonts w:hint="eastAsia" w:ascii="宋体" w:hAnsi="宋体"/>
          <w:color w:val="000000"/>
        </w:rPr>
        <w:t>2月11日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04718E5A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09319D3A"/>
  <w:p w14:paraId="09002BB4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zZmRmZDMxMjkwMDE2NTk0ZWQ1ZWYwMzRmYjVhNmUifQ=="/>
  </w:docVars>
  <w:rsids>
    <w:rsidRoot w:val="250648DF"/>
    <w:rsid w:val="0000560A"/>
    <w:rsid w:val="00017EDF"/>
    <w:rsid w:val="00030173"/>
    <w:rsid w:val="00034097"/>
    <w:rsid w:val="00071422"/>
    <w:rsid w:val="000C14F3"/>
    <w:rsid w:val="000E2D2B"/>
    <w:rsid w:val="00127861"/>
    <w:rsid w:val="0014314D"/>
    <w:rsid w:val="00145376"/>
    <w:rsid w:val="0015522E"/>
    <w:rsid w:val="00172278"/>
    <w:rsid w:val="00182597"/>
    <w:rsid w:val="00197F58"/>
    <w:rsid w:val="001A19AA"/>
    <w:rsid w:val="001E5B6D"/>
    <w:rsid w:val="0026231B"/>
    <w:rsid w:val="00263A11"/>
    <w:rsid w:val="00265CEB"/>
    <w:rsid w:val="00294FA7"/>
    <w:rsid w:val="002A4A5F"/>
    <w:rsid w:val="002D4803"/>
    <w:rsid w:val="002E4BAE"/>
    <w:rsid w:val="00313FED"/>
    <w:rsid w:val="003503E2"/>
    <w:rsid w:val="003B505E"/>
    <w:rsid w:val="003B5A9C"/>
    <w:rsid w:val="003B6998"/>
    <w:rsid w:val="0043572E"/>
    <w:rsid w:val="00452FDE"/>
    <w:rsid w:val="004623A6"/>
    <w:rsid w:val="00471AA1"/>
    <w:rsid w:val="004915CA"/>
    <w:rsid w:val="004958CF"/>
    <w:rsid w:val="004C23D4"/>
    <w:rsid w:val="005052AF"/>
    <w:rsid w:val="00510919"/>
    <w:rsid w:val="005147FD"/>
    <w:rsid w:val="0053474F"/>
    <w:rsid w:val="00566029"/>
    <w:rsid w:val="005A51A9"/>
    <w:rsid w:val="005A529A"/>
    <w:rsid w:val="005B1B2B"/>
    <w:rsid w:val="005E47D3"/>
    <w:rsid w:val="005F0EE6"/>
    <w:rsid w:val="006140E4"/>
    <w:rsid w:val="0065083B"/>
    <w:rsid w:val="006521A8"/>
    <w:rsid w:val="00656AB7"/>
    <w:rsid w:val="00671781"/>
    <w:rsid w:val="006740E1"/>
    <w:rsid w:val="00674AB8"/>
    <w:rsid w:val="0068614B"/>
    <w:rsid w:val="006C4055"/>
    <w:rsid w:val="006E0638"/>
    <w:rsid w:val="00743342"/>
    <w:rsid w:val="00756641"/>
    <w:rsid w:val="00775870"/>
    <w:rsid w:val="007B1BE1"/>
    <w:rsid w:val="007C6756"/>
    <w:rsid w:val="007D0568"/>
    <w:rsid w:val="007E3019"/>
    <w:rsid w:val="00802CF4"/>
    <w:rsid w:val="00810890"/>
    <w:rsid w:val="00814C3B"/>
    <w:rsid w:val="00816738"/>
    <w:rsid w:val="00824398"/>
    <w:rsid w:val="00864A4F"/>
    <w:rsid w:val="00880A4C"/>
    <w:rsid w:val="008A0C1F"/>
    <w:rsid w:val="008E132F"/>
    <w:rsid w:val="008E2407"/>
    <w:rsid w:val="008E6C4A"/>
    <w:rsid w:val="00906FA1"/>
    <w:rsid w:val="00915EFD"/>
    <w:rsid w:val="009D4BD2"/>
    <w:rsid w:val="00A35B35"/>
    <w:rsid w:val="00A538C0"/>
    <w:rsid w:val="00A61D0E"/>
    <w:rsid w:val="00A824D5"/>
    <w:rsid w:val="00AC076E"/>
    <w:rsid w:val="00AD3170"/>
    <w:rsid w:val="00AF480D"/>
    <w:rsid w:val="00B127D6"/>
    <w:rsid w:val="00B66502"/>
    <w:rsid w:val="00B7323C"/>
    <w:rsid w:val="00B94247"/>
    <w:rsid w:val="00C07EC8"/>
    <w:rsid w:val="00C60313"/>
    <w:rsid w:val="00C620CE"/>
    <w:rsid w:val="00C62F75"/>
    <w:rsid w:val="00C655CD"/>
    <w:rsid w:val="00C93B26"/>
    <w:rsid w:val="00CE57F8"/>
    <w:rsid w:val="00D2703E"/>
    <w:rsid w:val="00D61553"/>
    <w:rsid w:val="00D62F76"/>
    <w:rsid w:val="00D64D5A"/>
    <w:rsid w:val="00D81E6B"/>
    <w:rsid w:val="00D96B6E"/>
    <w:rsid w:val="00DB17CE"/>
    <w:rsid w:val="00DC27F5"/>
    <w:rsid w:val="00DC344C"/>
    <w:rsid w:val="00DD5DC1"/>
    <w:rsid w:val="00DF16D4"/>
    <w:rsid w:val="00E52CF6"/>
    <w:rsid w:val="00E635D9"/>
    <w:rsid w:val="00E77466"/>
    <w:rsid w:val="00E93946"/>
    <w:rsid w:val="00EA59BB"/>
    <w:rsid w:val="00EC468D"/>
    <w:rsid w:val="00EE3298"/>
    <w:rsid w:val="00F04918"/>
    <w:rsid w:val="00F2391F"/>
    <w:rsid w:val="00FA1652"/>
    <w:rsid w:val="00FD2ADA"/>
    <w:rsid w:val="01ED627D"/>
    <w:rsid w:val="02413036"/>
    <w:rsid w:val="03A4154D"/>
    <w:rsid w:val="04504EB3"/>
    <w:rsid w:val="05184867"/>
    <w:rsid w:val="07F60EEB"/>
    <w:rsid w:val="08E92761"/>
    <w:rsid w:val="094950CC"/>
    <w:rsid w:val="09B20CF0"/>
    <w:rsid w:val="0B42184D"/>
    <w:rsid w:val="0B600DC7"/>
    <w:rsid w:val="0BD93341"/>
    <w:rsid w:val="0C5837CD"/>
    <w:rsid w:val="0EEA4B99"/>
    <w:rsid w:val="15663828"/>
    <w:rsid w:val="18CC61E5"/>
    <w:rsid w:val="1FF54A49"/>
    <w:rsid w:val="201072A5"/>
    <w:rsid w:val="21B72742"/>
    <w:rsid w:val="22980952"/>
    <w:rsid w:val="250648DF"/>
    <w:rsid w:val="25EB6BDF"/>
    <w:rsid w:val="27BD3DBC"/>
    <w:rsid w:val="2B6D1EEF"/>
    <w:rsid w:val="2E6B62F8"/>
    <w:rsid w:val="307411DA"/>
    <w:rsid w:val="31072F7C"/>
    <w:rsid w:val="316A5FE7"/>
    <w:rsid w:val="39221C77"/>
    <w:rsid w:val="3C822F4B"/>
    <w:rsid w:val="3CF05F42"/>
    <w:rsid w:val="45366DBA"/>
    <w:rsid w:val="480E7C0F"/>
    <w:rsid w:val="48A6351E"/>
    <w:rsid w:val="49184C66"/>
    <w:rsid w:val="49D63E5E"/>
    <w:rsid w:val="49DB44EA"/>
    <w:rsid w:val="4B98272C"/>
    <w:rsid w:val="4FC00144"/>
    <w:rsid w:val="504925C9"/>
    <w:rsid w:val="519E4A21"/>
    <w:rsid w:val="5C165156"/>
    <w:rsid w:val="61FE3A6B"/>
    <w:rsid w:val="64710521"/>
    <w:rsid w:val="64E01E8E"/>
    <w:rsid w:val="6609788A"/>
    <w:rsid w:val="6D6E0C14"/>
    <w:rsid w:val="6D9B7EBF"/>
    <w:rsid w:val="750617AF"/>
    <w:rsid w:val="75297F2F"/>
    <w:rsid w:val="7FAC5BDB"/>
    <w:rsid w:val="DFFD4A0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autoRedefine/>
    <w:qFormat/>
    <w:uiPriority w:val="0"/>
    <w:pPr>
      <w:jc w:val="left"/>
    </w:p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3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autoRedefine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0"/>
      <w:szCs w:val="32"/>
    </w:rPr>
  </w:style>
  <w:style w:type="paragraph" w:styleId="7">
    <w:name w:val="annotation subject"/>
    <w:basedOn w:val="2"/>
    <w:next w:val="2"/>
    <w:link w:val="16"/>
    <w:autoRedefine/>
    <w:semiHidden/>
    <w:unhideWhenUsed/>
    <w:qFormat/>
    <w:uiPriority w:val="0"/>
    <w:rPr>
      <w:b/>
      <w:bCs/>
    </w:rPr>
  </w:style>
  <w:style w:type="character" w:styleId="10">
    <w:name w:val="annotation reference"/>
    <w:basedOn w:val="9"/>
    <w:autoRedefine/>
    <w:qFormat/>
    <w:uiPriority w:val="0"/>
    <w:rPr>
      <w:sz w:val="21"/>
      <w:szCs w:val="21"/>
    </w:rPr>
  </w:style>
  <w:style w:type="paragraph" w:customStyle="1" w:styleId="11">
    <w:name w:val="p0"/>
    <w:basedOn w:val="1"/>
    <w:autoRedefine/>
    <w:qFormat/>
    <w:uiPriority w:val="0"/>
    <w:pPr>
      <w:widowControl/>
    </w:pPr>
    <w:rPr>
      <w:rFonts w:ascii="Book Antiqua" w:hAnsi="Book Antiqua" w:eastAsia="宋体" w:cs="宋体"/>
      <w:kern w:val="0"/>
      <w:sz w:val="24"/>
      <w:szCs w:val="24"/>
    </w:rPr>
  </w:style>
  <w:style w:type="character" w:customStyle="1" w:styleId="12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kern w:val="2"/>
      <w:sz w:val="18"/>
      <w:szCs w:val="18"/>
    </w:rPr>
  </w:style>
  <w:style w:type="character" w:customStyle="1" w:styleId="14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character" w:customStyle="1" w:styleId="15">
    <w:name w:val="批注文字 字符"/>
    <w:basedOn w:val="9"/>
    <w:link w:val="2"/>
    <w:qFormat/>
    <w:uiPriority w:val="0"/>
    <w:rPr>
      <w:kern w:val="2"/>
      <w:sz w:val="21"/>
      <w:szCs w:val="22"/>
    </w:rPr>
  </w:style>
  <w:style w:type="character" w:customStyle="1" w:styleId="16">
    <w:name w:val="批注主题 字符"/>
    <w:basedOn w:val="15"/>
    <w:link w:val="7"/>
    <w:autoRedefine/>
    <w:semiHidden/>
    <w:qFormat/>
    <w:uiPriority w:val="0"/>
    <w:rPr>
      <w:b/>
      <w:bCs/>
      <w:kern w:val="2"/>
      <w:sz w:val="21"/>
      <w:szCs w:val="22"/>
    </w:rPr>
  </w:style>
  <w:style w:type="paragraph" w:customStyle="1" w:styleId="17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9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0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21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修订4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嘉源律师事务所</Company>
  <Pages>2</Pages>
  <Words>788</Words>
  <Characters>840</Characters>
  <Lines>25</Lines>
  <Paragraphs>31</Paragraphs>
  <TotalTime>141</TotalTime>
  <ScaleCrop>false</ScaleCrop>
  <LinksUpToDate>false</LinksUpToDate>
  <CharactersWithSpaces>860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2025-10-28T05:59:00Z</dcterms:created>
  <dc:creator>BJB-ZB-03</dc:creator>
  <cp:lastModifiedBy>雯亦</cp:lastModifiedBy>
  <dcterms:modified xsi:type="dcterms:W3CDTF">2025-12-10T06:39:24Z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F8009085E5A14F59A2655EB747072748_13</vt:lpwstr>
  </property>
  <property fmtid="{D5CDD505-2E9C-101B-9397-08002B2CF9AE}" pid="4" name="KSOTemplateDocerSaveRecord">
    <vt:lpwstr>eyJoZGlkIjoiZTQzZmRmZDMxMjkwMDE2NTk0ZWQ1ZWYwMzRmYjVhNmUiLCJ1c2VySWQiOiI2NDQwNzQxNTQifQ==</vt:lpwstr>
  </property>
</Properties>
</file>