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5CACA">
      <w:pPr>
        <w:adjustRightInd w:val="0"/>
        <w:snapToGrid w:val="0"/>
        <w:spacing w:line="560" w:lineRule="exact"/>
        <w:rPr>
          <w:rFonts w:hint="eastAsia" w:ascii="宋体" w:hAnsi="宋体" w:eastAsia="宋体"/>
          <w:b/>
          <w:color w:val="auto"/>
          <w:sz w:val="24"/>
          <w:szCs w:val="24"/>
          <w:highlight w:val="none"/>
        </w:rPr>
      </w:pPr>
      <w:bookmarkStart w:id="5" w:name="_GoBack"/>
      <w:bookmarkEnd w:id="5"/>
      <w:r>
        <w:rPr>
          <w:rFonts w:hint="eastAsia" w:ascii="宋体" w:hAnsi="宋体" w:eastAsia="宋体"/>
          <w:b/>
          <w:color w:val="auto"/>
          <w:sz w:val="24"/>
          <w:szCs w:val="24"/>
          <w:highlight w:val="none"/>
        </w:rPr>
        <w:t>证券代码：</w:t>
      </w:r>
      <w:r>
        <w:rPr>
          <w:rFonts w:ascii="宋体" w:hAnsi="宋体" w:eastAsia="宋体"/>
          <w:b/>
          <w:color w:val="auto"/>
          <w:sz w:val="24"/>
          <w:szCs w:val="24"/>
          <w:highlight w:val="none"/>
        </w:rPr>
        <w:t>603191</w:t>
      </w:r>
      <w:r>
        <w:rPr>
          <w:rFonts w:hint="eastAsia" w:ascii="宋体" w:hAnsi="宋体" w:eastAsia="宋体"/>
          <w:b/>
          <w:color w:val="auto"/>
          <w:sz w:val="24"/>
          <w:szCs w:val="24"/>
          <w:highlight w:val="none"/>
        </w:rPr>
        <w:t xml:space="preserve">         证券简称：望变电气       公告编号：2</w:t>
      </w:r>
      <w:r>
        <w:rPr>
          <w:rFonts w:ascii="宋体" w:hAnsi="宋体" w:eastAsia="宋体"/>
          <w:b/>
          <w:color w:val="auto"/>
          <w:sz w:val="24"/>
          <w:szCs w:val="24"/>
          <w:highlight w:val="none"/>
        </w:rPr>
        <w:t>02</w:t>
      </w:r>
      <w:r>
        <w:rPr>
          <w:rFonts w:hint="eastAsia" w:ascii="宋体" w:hAnsi="宋体" w:eastAsia="宋体"/>
          <w:b/>
          <w:color w:val="auto"/>
          <w:sz w:val="24"/>
          <w:szCs w:val="24"/>
          <w:highlight w:val="none"/>
        </w:rPr>
        <w:t>5</w:t>
      </w:r>
      <w:r>
        <w:rPr>
          <w:rFonts w:ascii="宋体" w:hAnsi="宋体" w:eastAsia="宋体"/>
          <w:b/>
          <w:color w:val="auto"/>
          <w:sz w:val="24"/>
          <w:szCs w:val="24"/>
          <w:highlight w:val="none"/>
        </w:rPr>
        <w:t>-</w:t>
      </w:r>
      <w:r>
        <w:rPr>
          <w:rFonts w:hint="eastAsia" w:ascii="宋体" w:hAnsi="宋体" w:eastAsia="宋体"/>
          <w:b/>
          <w:color w:val="auto"/>
          <w:sz w:val="24"/>
          <w:szCs w:val="24"/>
          <w:highlight w:val="none"/>
        </w:rPr>
        <w:t>0</w:t>
      </w:r>
      <w:r>
        <w:rPr>
          <w:rFonts w:ascii="宋体" w:hAnsi="宋体" w:eastAsia="宋体"/>
          <w:b/>
          <w:color w:val="auto"/>
          <w:sz w:val="24"/>
          <w:szCs w:val="24"/>
          <w:highlight w:val="none"/>
        </w:rPr>
        <w:t>5</w:t>
      </w:r>
      <w:r>
        <w:rPr>
          <w:rFonts w:hint="eastAsia" w:ascii="宋体" w:hAnsi="宋体" w:eastAsia="宋体"/>
          <w:b/>
          <w:color w:val="auto"/>
          <w:sz w:val="24"/>
          <w:szCs w:val="24"/>
          <w:highlight w:val="none"/>
        </w:rPr>
        <w:t>5</w:t>
      </w:r>
    </w:p>
    <w:p w14:paraId="091F5FF6">
      <w:pPr>
        <w:adjustRightInd w:val="0"/>
        <w:snapToGrid w:val="0"/>
        <w:spacing w:line="560" w:lineRule="exact"/>
        <w:jc w:val="left"/>
        <w:rPr>
          <w:rFonts w:hint="eastAsia" w:ascii="仿宋" w:hAnsi="仿宋" w:eastAsia="仿宋_GB2312"/>
          <w:color w:val="auto"/>
          <w:sz w:val="30"/>
          <w:szCs w:val="30"/>
          <w:highlight w:val="none"/>
        </w:rPr>
      </w:pPr>
    </w:p>
    <w:p w14:paraId="0D6230AC">
      <w:pPr>
        <w:adjustRightInd w:val="0"/>
        <w:snapToGrid w:val="0"/>
        <w:spacing w:before="156" w:beforeLines="50" w:line="560" w:lineRule="exact"/>
        <w:jc w:val="center"/>
        <w:rPr>
          <w:rFonts w:hint="eastAsia" w:ascii="宋体" w:hAnsi="宋体" w:eastAsia="宋体" w:cs="仿宋_GB2312"/>
          <w:b/>
          <w:bCs/>
          <w:color w:val="FF0000"/>
          <w:sz w:val="36"/>
          <w:szCs w:val="36"/>
          <w:highlight w:val="none"/>
        </w:rPr>
      </w:pPr>
      <w:r>
        <w:rPr>
          <w:rFonts w:hint="eastAsia" w:ascii="宋体" w:hAnsi="宋体" w:eastAsia="宋体" w:cs="仿宋_GB2312"/>
          <w:b/>
          <w:bCs/>
          <w:color w:val="FF0000"/>
          <w:sz w:val="36"/>
          <w:szCs w:val="36"/>
          <w:highlight w:val="none"/>
        </w:rPr>
        <w:t>重庆望变电气（集团）股份有限公司</w:t>
      </w:r>
    </w:p>
    <w:p w14:paraId="7F1CDB7D">
      <w:pPr>
        <w:adjustRightInd w:val="0"/>
        <w:snapToGrid w:val="0"/>
        <w:spacing w:before="156" w:beforeLines="50" w:line="560" w:lineRule="exact"/>
        <w:jc w:val="center"/>
        <w:rPr>
          <w:rFonts w:hint="eastAsia" w:ascii="宋体" w:hAnsi="宋体" w:eastAsia="宋体" w:cs="仿宋_GB2312"/>
          <w:b/>
          <w:bCs/>
          <w:color w:val="FF0000"/>
          <w:sz w:val="36"/>
          <w:szCs w:val="36"/>
          <w:highlight w:val="none"/>
        </w:rPr>
      </w:pPr>
      <w:bookmarkStart w:id="0" w:name="_Hlk117153081"/>
      <w:r>
        <w:rPr>
          <w:rFonts w:hint="eastAsia" w:ascii="宋体" w:hAnsi="宋体" w:eastAsia="宋体" w:cs="仿宋_GB2312"/>
          <w:b/>
          <w:bCs/>
          <w:color w:val="FF0000"/>
          <w:sz w:val="36"/>
          <w:szCs w:val="36"/>
          <w:highlight w:val="none"/>
        </w:rPr>
        <w:t>第四届董事会第十五次会议</w:t>
      </w:r>
      <w:bookmarkEnd w:id="0"/>
      <w:r>
        <w:rPr>
          <w:rFonts w:hint="eastAsia" w:ascii="宋体" w:hAnsi="宋体" w:eastAsia="宋体" w:cs="仿宋_GB2312"/>
          <w:b/>
          <w:bCs/>
          <w:color w:val="FF0000"/>
          <w:sz w:val="36"/>
          <w:szCs w:val="36"/>
          <w:highlight w:val="none"/>
        </w:rPr>
        <w:t>决议公告</w:t>
      </w:r>
    </w:p>
    <w:p w14:paraId="2B71EE50">
      <w:pPr>
        <w:adjustRightInd w:val="0"/>
        <w:snapToGrid w:val="0"/>
        <w:spacing w:before="156" w:beforeLines="50" w:line="560" w:lineRule="exact"/>
        <w:jc w:val="center"/>
        <w:rPr>
          <w:rFonts w:hint="eastAsia" w:ascii="仿宋_GB2312" w:hAnsi="仿宋_GB2312" w:eastAsia="仿宋_GB2312" w:cs="仿宋_GB2312"/>
          <w:b/>
          <w:bCs/>
          <w:color w:val="auto"/>
          <w:sz w:val="30"/>
          <w:szCs w:val="30"/>
          <w:highlight w:val="none"/>
        </w:rPr>
      </w:pPr>
    </w:p>
    <w:p w14:paraId="51EFA4FB">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宋体" w:hAnsi="宋体" w:eastAsia="宋体"/>
          <w:color w:val="auto"/>
          <w:sz w:val="24"/>
          <w:szCs w:val="24"/>
          <w:highlight w:val="none"/>
        </w:rPr>
      </w:pPr>
      <w:r>
        <w:rPr>
          <w:rFonts w:hint="eastAsia" w:ascii="仿宋" w:hAnsi="仿宋" w:eastAsia="仿宋"/>
          <w:color w:val="auto"/>
          <w:sz w:val="24"/>
          <w:szCs w:val="24"/>
          <w:highlight w:val="none"/>
        </w:rPr>
        <w:t>本公司董事会及全体董事保证本公告内容不存在任何虚假记载、误导性陈述或者重大遗漏，并对其内容的真实性、准确性和完整性承担法律责任</w:t>
      </w:r>
      <w:r>
        <w:rPr>
          <w:rFonts w:hint="eastAsia" w:ascii="宋体" w:hAnsi="宋体" w:eastAsia="宋体"/>
          <w:color w:val="auto"/>
          <w:sz w:val="24"/>
          <w:szCs w:val="24"/>
          <w:highlight w:val="none"/>
        </w:rPr>
        <w:t>。</w:t>
      </w:r>
    </w:p>
    <w:p w14:paraId="31874F22">
      <w:pPr>
        <w:autoSpaceDE w:val="0"/>
        <w:autoSpaceDN w:val="0"/>
        <w:adjustRightInd w:val="0"/>
        <w:snapToGrid w:val="0"/>
        <w:spacing w:line="560" w:lineRule="exact"/>
        <w:rPr>
          <w:rFonts w:hint="eastAsia" w:ascii="仿宋" w:hAnsi="仿宋" w:eastAsia="仿宋_GB2312"/>
          <w:color w:val="auto"/>
          <w:sz w:val="30"/>
          <w:szCs w:val="30"/>
          <w:highlight w:val="none"/>
        </w:rPr>
      </w:pPr>
    </w:p>
    <w:p w14:paraId="014A19D3">
      <w:pPr>
        <w:pStyle w:val="95"/>
        <w:numPr>
          <w:ilvl w:val="0"/>
          <w:numId w:val="11"/>
        </w:numPr>
        <w:autoSpaceDE w:val="0"/>
        <w:autoSpaceDN w:val="0"/>
        <w:adjustRightInd w:val="0"/>
        <w:snapToGrid w:val="0"/>
        <w:spacing w:line="560" w:lineRule="exact"/>
        <w:ind w:firstLineChars="0"/>
        <w:rPr>
          <w:rFonts w:hint="eastAsia" w:ascii="宋体" w:hAnsi="宋体"/>
          <w:b/>
          <w:color w:val="auto"/>
          <w:sz w:val="24"/>
          <w:szCs w:val="24"/>
          <w:highlight w:val="none"/>
        </w:rPr>
      </w:pPr>
      <w:r>
        <w:rPr>
          <w:rFonts w:hint="eastAsia" w:ascii="宋体" w:hAnsi="宋体"/>
          <w:b/>
          <w:color w:val="auto"/>
          <w:sz w:val="24"/>
          <w:szCs w:val="24"/>
          <w:highlight w:val="none"/>
        </w:rPr>
        <w:t>董事会会议召开情况</w:t>
      </w:r>
    </w:p>
    <w:p w14:paraId="3C3FAFB4">
      <w:pPr>
        <w:autoSpaceDE w:val="0"/>
        <w:autoSpaceDN w:val="0"/>
        <w:adjustRightInd w:val="0"/>
        <w:snapToGrid w:val="0"/>
        <w:spacing w:line="56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重庆望变电气（集团）股份有限公司（以下简称“公司”或“望变电气”）第四届董事会第十五次会议通知于2025年</w:t>
      </w:r>
      <w:r>
        <w:rPr>
          <w:rFonts w:ascii="宋体" w:hAnsi="宋体"/>
          <w:color w:val="auto"/>
          <w:sz w:val="24"/>
          <w:szCs w:val="24"/>
          <w:highlight w:val="none"/>
        </w:rPr>
        <w:t>1</w:t>
      </w:r>
      <w:r>
        <w:rPr>
          <w:rFonts w:hint="eastAsia" w:ascii="宋体" w:hAnsi="宋体"/>
          <w:color w:val="auto"/>
          <w:sz w:val="24"/>
          <w:szCs w:val="24"/>
          <w:highlight w:val="none"/>
        </w:rPr>
        <w:t>2月4日以邮件的方式发出，会议于2025年</w:t>
      </w:r>
      <w:r>
        <w:rPr>
          <w:rFonts w:ascii="宋体" w:hAnsi="宋体"/>
          <w:color w:val="auto"/>
          <w:sz w:val="24"/>
          <w:szCs w:val="24"/>
          <w:highlight w:val="none"/>
        </w:rPr>
        <w:t>1</w:t>
      </w:r>
      <w:r>
        <w:rPr>
          <w:rFonts w:hint="eastAsia" w:ascii="宋体" w:hAnsi="宋体"/>
          <w:color w:val="auto"/>
          <w:sz w:val="24"/>
          <w:szCs w:val="24"/>
          <w:highlight w:val="none"/>
        </w:rPr>
        <w:t>2月9日以现场结合通讯方式在公司会议室召开。本次会议应出席董事</w:t>
      </w:r>
      <w:r>
        <w:rPr>
          <w:rFonts w:ascii="宋体" w:hAnsi="宋体"/>
          <w:color w:val="auto"/>
          <w:sz w:val="24"/>
          <w:szCs w:val="24"/>
          <w:highlight w:val="none"/>
        </w:rPr>
        <w:t>9</w:t>
      </w:r>
      <w:r>
        <w:rPr>
          <w:rFonts w:hint="eastAsia" w:ascii="宋体" w:hAnsi="宋体"/>
          <w:color w:val="auto"/>
          <w:sz w:val="24"/>
          <w:szCs w:val="24"/>
          <w:highlight w:val="none"/>
        </w:rPr>
        <w:t>人，实际出席董事</w:t>
      </w:r>
      <w:r>
        <w:rPr>
          <w:rFonts w:ascii="宋体" w:hAnsi="宋体"/>
          <w:color w:val="auto"/>
          <w:sz w:val="24"/>
          <w:szCs w:val="24"/>
          <w:highlight w:val="none"/>
        </w:rPr>
        <w:t>9</w:t>
      </w:r>
      <w:r>
        <w:rPr>
          <w:rFonts w:hint="eastAsia" w:ascii="宋体" w:hAnsi="宋体"/>
          <w:color w:val="auto"/>
          <w:sz w:val="24"/>
          <w:szCs w:val="24"/>
          <w:highlight w:val="none"/>
        </w:rPr>
        <w:t>人（其中以通讯方式出席</w:t>
      </w: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人），公司董事长杨泽民</w:t>
      </w:r>
      <w:r>
        <w:rPr>
          <w:rFonts w:hint="eastAsia" w:ascii="宋体" w:hAnsi="宋体"/>
          <w:color w:val="auto"/>
          <w:sz w:val="24"/>
          <w:szCs w:val="24"/>
          <w:highlight w:val="none"/>
          <w:lang w:val="en-US" w:eastAsia="zh-CN"/>
        </w:rPr>
        <w:t>先生主持</w:t>
      </w:r>
      <w:r>
        <w:rPr>
          <w:rFonts w:hint="eastAsia" w:ascii="宋体" w:hAnsi="宋体"/>
          <w:color w:val="auto"/>
          <w:sz w:val="24"/>
          <w:szCs w:val="24"/>
          <w:highlight w:val="none"/>
        </w:rPr>
        <w:t>本次董事会会议，公司监事及部分高级管理人员列席了会议，会议召集、召开、表决程序及审议事项符合《中华人民共和国公司法》《中华人民共和国证券法》等相关法律法规、规范性文件及《重庆望变电气（集团）股份有限公司章程》的规定，会议形成的决议合法、有效。</w:t>
      </w:r>
    </w:p>
    <w:p w14:paraId="57750498">
      <w:pPr>
        <w:pStyle w:val="95"/>
        <w:numPr>
          <w:ilvl w:val="0"/>
          <w:numId w:val="11"/>
        </w:numPr>
        <w:autoSpaceDE w:val="0"/>
        <w:autoSpaceDN w:val="0"/>
        <w:adjustRightInd w:val="0"/>
        <w:snapToGrid w:val="0"/>
        <w:spacing w:line="560" w:lineRule="exact"/>
        <w:ind w:firstLineChars="0"/>
        <w:rPr>
          <w:rFonts w:hint="eastAsia" w:ascii="宋体" w:hAnsi="宋体"/>
          <w:b/>
          <w:color w:val="auto"/>
          <w:sz w:val="24"/>
          <w:szCs w:val="24"/>
          <w:highlight w:val="none"/>
        </w:rPr>
      </w:pPr>
      <w:r>
        <w:rPr>
          <w:rFonts w:hint="eastAsia" w:ascii="宋体" w:hAnsi="宋体"/>
          <w:b/>
          <w:color w:val="auto"/>
          <w:sz w:val="24"/>
          <w:szCs w:val="24"/>
          <w:highlight w:val="none"/>
        </w:rPr>
        <w:t>董事会会议审议情况</w:t>
      </w:r>
    </w:p>
    <w:p w14:paraId="357934A8">
      <w:pPr>
        <w:pStyle w:val="95"/>
        <w:numPr>
          <w:ilvl w:val="255"/>
          <w:numId w:val="0"/>
        </w:numPr>
        <w:autoSpaceDE w:val="0"/>
        <w:autoSpaceDN w:val="0"/>
        <w:adjustRightInd w:val="0"/>
        <w:snapToGrid w:val="0"/>
        <w:spacing w:line="560" w:lineRule="exact"/>
        <w:ind w:left="482"/>
        <w:rPr>
          <w:rFonts w:hint="eastAsia" w:ascii="宋体" w:hAnsi="宋体"/>
          <w:b/>
          <w:color w:val="auto"/>
          <w:sz w:val="24"/>
          <w:szCs w:val="24"/>
          <w:highlight w:val="none"/>
        </w:rPr>
      </w:pPr>
      <w:r>
        <w:rPr>
          <w:rFonts w:hint="eastAsia" w:ascii="宋体" w:hAnsi="宋体"/>
          <w:b/>
          <w:color w:val="auto"/>
          <w:sz w:val="24"/>
          <w:szCs w:val="24"/>
          <w:highlight w:val="none"/>
        </w:rPr>
        <w:t>（一）审议通过《关于取消监事会并修订&lt;公司章程&gt;及其附件的议案》</w:t>
      </w:r>
    </w:p>
    <w:p w14:paraId="60D86B82">
      <w:pPr>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公司董事会同意取消监事会及监事设置，由董事会审计委员会行使监事会的相关职权，《监事会议事规则》相应废止，股东会审议通过后，第四届监事会监事职务自然免除。</w:t>
      </w:r>
    </w:p>
    <w:p w14:paraId="206B7123">
      <w:pPr>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在公司股东会审议通过取消监事会事项之前，公司第四届监事会仍将严格按照有关法律、法规和《公司章程》的规定继续履行职责，维护公司和全体股东利益。</w:t>
      </w:r>
    </w:p>
    <w:p w14:paraId="3EB6AA62">
      <w:pPr>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董事会同意对《重庆望变电气（集团）股份有限公司章程》（以下简称“《公司章程》”）及其附件《股东会议事规则》《董事会议事规则》中的部分条款进行修订，修订后的《公司章程》及其附件自公司股东会审议通过后生效，原《公司章程》及其附件相应废止。相关内容详见2025年</w:t>
      </w: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rPr>
        <w:t>2月11日刊登于上海证券交易所网站 www.sse.com.cn 的《公司章程》《股东会议事规则》《董事会议事规则》及《关于取消监事会暨修订&lt;公司章程&gt;及修订、制定和废止部分治理制度的公告》（公告编号：2025-057）。</w:t>
      </w:r>
    </w:p>
    <w:p w14:paraId="7E865AFC">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642B383D">
      <w:pPr>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该议案已经公司第四届董事会审计委员会第十次会议审议通过，尚需提交股东会审议。</w:t>
      </w:r>
    </w:p>
    <w:p w14:paraId="774403EA">
      <w:pPr>
        <w:pStyle w:val="95"/>
        <w:numPr>
          <w:ilvl w:val="0"/>
          <w:numId w:val="12"/>
        </w:numPr>
        <w:autoSpaceDE w:val="0"/>
        <w:autoSpaceDN w:val="0"/>
        <w:adjustRightInd w:val="0"/>
        <w:snapToGrid w:val="0"/>
        <w:spacing w:line="560" w:lineRule="exact"/>
        <w:ind w:firstLine="482"/>
        <w:rPr>
          <w:rFonts w:hint="eastAsia" w:ascii="宋体" w:hAnsi="宋体"/>
          <w:b/>
          <w:color w:val="auto"/>
          <w:sz w:val="24"/>
          <w:szCs w:val="24"/>
          <w:highlight w:val="none"/>
        </w:rPr>
      </w:pPr>
      <w:r>
        <w:rPr>
          <w:rFonts w:hint="eastAsia" w:ascii="宋体" w:hAnsi="宋体"/>
          <w:b/>
          <w:color w:val="auto"/>
          <w:sz w:val="24"/>
          <w:szCs w:val="24"/>
          <w:highlight w:val="none"/>
        </w:rPr>
        <w:t>逐项审议《关于修订、制定部分公司治理制度的议案》</w:t>
      </w:r>
    </w:p>
    <w:p w14:paraId="61BD3B58">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为进一步规范公司运作，促进公司持续健康稳定发展，公司拟按照现行的《公司法》《证券法》及《上海证券交易所股票上市规则》《上海证券交易所上市公司自律监管指引》《上市公司独立董事管理办法》等相关法律法规和规范性文件以及公司的实际情况，制定、修订了公司部分治理制度。具体情况如下：</w:t>
      </w:r>
    </w:p>
    <w:p w14:paraId="4ABFE211">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1 审议关于修订《董事会审计委员会工作细则》</w:t>
      </w:r>
    </w:p>
    <w:p w14:paraId="45545E85">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358475BF">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2 审议关于修订《董事会提名委员会工作细则》</w:t>
      </w:r>
    </w:p>
    <w:p w14:paraId="40866952">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285B6499">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3审议关于修订《董事会战略发展委员会工作细则》</w:t>
      </w:r>
    </w:p>
    <w:p w14:paraId="728547C1">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79FACD3A">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4 审议关于修订《董事会薪酬与考核委员会工作细则》</w:t>
      </w:r>
    </w:p>
    <w:p w14:paraId="4056C276">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30EBDF26">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5审议关于修订《</w:t>
      </w:r>
      <w:bookmarkStart w:id="1" w:name="OLE_LINK1"/>
      <w:r>
        <w:rPr>
          <w:rFonts w:hint="eastAsia" w:ascii="宋体" w:hAnsi="宋体"/>
          <w:bCs/>
          <w:color w:val="auto"/>
          <w:sz w:val="24"/>
          <w:szCs w:val="24"/>
          <w:highlight w:val="none"/>
        </w:rPr>
        <w:t>独立董事专门会议工作制度</w:t>
      </w:r>
      <w:bookmarkEnd w:id="1"/>
      <w:r>
        <w:rPr>
          <w:rFonts w:hint="eastAsia" w:ascii="宋体" w:hAnsi="宋体"/>
          <w:bCs/>
          <w:color w:val="auto"/>
          <w:sz w:val="24"/>
          <w:szCs w:val="24"/>
          <w:highlight w:val="none"/>
        </w:rPr>
        <w:t>》</w:t>
      </w:r>
    </w:p>
    <w:p w14:paraId="004CCEB1">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292B1769">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6 审议关于修订《独立董事工作制度》</w:t>
      </w:r>
    </w:p>
    <w:p w14:paraId="4C052181">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3F594694">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7 审议关于修订《总经理工作细则》</w:t>
      </w:r>
    </w:p>
    <w:p w14:paraId="6ABEE610">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1A20591F">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8 审议关于修订《董事会秘书工作制度》</w:t>
      </w:r>
    </w:p>
    <w:p w14:paraId="5A2A4450">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7276B735">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9 审议关于修订《防范控股股东、实际控制人及其关联方占用公司资金制度》</w:t>
      </w:r>
    </w:p>
    <w:p w14:paraId="379F8D98">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63800CE1">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10 审议关于制定《董事、高级管理人员离职管理制度》</w:t>
      </w:r>
    </w:p>
    <w:p w14:paraId="645B398B">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00ACD15F">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11 审议关于制定《董事、高级管理人员薪酬管理制度》</w:t>
      </w:r>
    </w:p>
    <w:p w14:paraId="7A95C504">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233D8D08">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12 审议关于制定《董事和高级管理人员所持本公司股份及其变动管理制度》</w:t>
      </w:r>
    </w:p>
    <w:p w14:paraId="643A3E95">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37571E13">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13 审议关于修订《远期结售汇业务内部控制制度》</w:t>
      </w:r>
    </w:p>
    <w:p w14:paraId="0564E64B">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4D9C6F2B">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14 审议关于修订《关联交易决策制度》</w:t>
      </w:r>
    </w:p>
    <w:p w14:paraId="2C11C587">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6837CCD9">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15 审议关于修订《对外投资管理办法》</w:t>
      </w:r>
    </w:p>
    <w:p w14:paraId="708D913C">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0ADE3DF3">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16 审议关于修订《对外担保管理制度》</w:t>
      </w:r>
    </w:p>
    <w:p w14:paraId="30DAE00E">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2E151322">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17 审议关于修订《募集资金管理制度》</w:t>
      </w:r>
    </w:p>
    <w:p w14:paraId="1B60F714">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3C201BA7">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18 审议关于修订《投资者关系管理制度》</w:t>
      </w:r>
    </w:p>
    <w:p w14:paraId="3F3B5D36">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4806BCB1">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19 审议关于修订《股东会网络投票实施细则》</w:t>
      </w:r>
    </w:p>
    <w:p w14:paraId="201E66A6">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5F9A4427">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20 审议关于修订《</w:t>
      </w:r>
      <w:bookmarkStart w:id="2" w:name="OLE_LINK2"/>
      <w:r>
        <w:rPr>
          <w:rFonts w:hint="eastAsia" w:ascii="宋体" w:hAnsi="宋体"/>
          <w:bCs/>
          <w:color w:val="auto"/>
          <w:sz w:val="24"/>
          <w:szCs w:val="24"/>
          <w:highlight w:val="none"/>
        </w:rPr>
        <w:t>信息披露管理制度</w:t>
      </w:r>
      <w:bookmarkEnd w:id="2"/>
      <w:r>
        <w:rPr>
          <w:rFonts w:hint="eastAsia" w:ascii="宋体" w:hAnsi="宋体"/>
          <w:bCs/>
          <w:color w:val="auto"/>
          <w:sz w:val="24"/>
          <w:szCs w:val="24"/>
          <w:highlight w:val="none"/>
        </w:rPr>
        <w:t>》</w:t>
      </w:r>
    </w:p>
    <w:p w14:paraId="34485C5D">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003923DF">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21 审议关于修订《自愿信息披露管理制度》</w:t>
      </w:r>
    </w:p>
    <w:p w14:paraId="2DA73322">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727F90DE">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22 审议关于修订《信息披露暂缓与豁免事项管理制度》</w:t>
      </w:r>
    </w:p>
    <w:p w14:paraId="0C085CF4">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348B137A">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23 审议关于制定《年报信息披露重大差错责任追究制度》</w:t>
      </w:r>
    </w:p>
    <w:p w14:paraId="3716A02A">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41421A96">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24 审议关于修订《内幕信息知情人登记管理制度》</w:t>
      </w:r>
    </w:p>
    <w:p w14:paraId="14621F79">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6BB24C09">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25 审议关于修订《舆情管理制度》</w:t>
      </w:r>
    </w:p>
    <w:p w14:paraId="41D88254">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4080C6CE">
      <w:pPr>
        <w:pStyle w:val="95"/>
        <w:autoSpaceDE w:val="0"/>
        <w:autoSpaceDN w:val="0"/>
        <w:adjustRightInd w:val="0"/>
        <w:snapToGrid w:val="0"/>
        <w:spacing w:line="560" w:lineRule="exact"/>
        <w:ind w:firstLine="481" w:firstLineChars="0"/>
        <w:rPr>
          <w:rFonts w:hint="eastAsia" w:ascii="宋体" w:hAnsi="宋体"/>
          <w:bCs/>
          <w:color w:val="auto"/>
          <w:sz w:val="24"/>
          <w:szCs w:val="24"/>
          <w:highlight w:val="none"/>
        </w:rPr>
      </w:pPr>
      <w:r>
        <w:rPr>
          <w:rFonts w:hint="eastAsia" w:ascii="宋体" w:hAnsi="宋体"/>
          <w:bCs/>
          <w:color w:val="auto"/>
          <w:sz w:val="24"/>
          <w:szCs w:val="24"/>
          <w:highlight w:val="none"/>
        </w:rPr>
        <w:t>26 审议关于修订《会计师事务所选聘制度》</w:t>
      </w:r>
    </w:p>
    <w:p w14:paraId="426F287F">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0A4BE7BD">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p>
    <w:p w14:paraId="538278D3">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制度中的《独立董事工作制度》《防范控股股东、实际控制人及其关联方占用公司资金制度》《董事、高级管理人员薪酬管理制度》《关联交易决策制度》《对外投资管理办法》《对外担保管理制度》《募集资金使用管理制度》《股东会网络投票实施细则》《信息披露管理制度》尚需提交股东会审议通过后方可生效。</w:t>
      </w:r>
    </w:p>
    <w:p w14:paraId="7EAB4DB0">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相关制度内容详见公司同日刊登在指定媒体及上海证券交易所网站上的相关文件。</w:t>
      </w:r>
    </w:p>
    <w:p w14:paraId="178972D1">
      <w:pPr>
        <w:autoSpaceDE w:val="0"/>
        <w:autoSpaceDN w:val="0"/>
        <w:adjustRightInd w:val="0"/>
        <w:snapToGrid w:val="0"/>
        <w:spacing w:line="560" w:lineRule="exact"/>
        <w:ind w:left="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该议案已经公司第四届董事会审计委员会第十次会议审议通过。</w:t>
      </w:r>
    </w:p>
    <w:p w14:paraId="5D74468C">
      <w:pPr>
        <w:pStyle w:val="95"/>
        <w:numPr>
          <w:ilvl w:val="0"/>
          <w:numId w:val="12"/>
        </w:numPr>
        <w:autoSpaceDE w:val="0"/>
        <w:autoSpaceDN w:val="0"/>
        <w:adjustRightInd w:val="0"/>
        <w:snapToGrid w:val="0"/>
        <w:spacing w:line="560" w:lineRule="exact"/>
        <w:ind w:firstLine="482"/>
        <w:rPr>
          <w:rFonts w:hint="eastAsia" w:ascii="宋体" w:hAnsi="宋体"/>
          <w:b/>
          <w:color w:val="auto"/>
          <w:sz w:val="24"/>
          <w:szCs w:val="24"/>
          <w:highlight w:val="none"/>
        </w:rPr>
      </w:pPr>
      <w:r>
        <w:rPr>
          <w:rFonts w:hint="eastAsia" w:ascii="宋体" w:hAnsi="宋体"/>
          <w:b/>
          <w:color w:val="auto"/>
          <w:sz w:val="24"/>
          <w:szCs w:val="24"/>
          <w:highlight w:val="none"/>
        </w:rPr>
        <w:t>审议通过《关于首次公开发行股票募投项目结项并将节余募集资金</w:t>
      </w:r>
      <w:bookmarkStart w:id="3" w:name="OLE_LINK3"/>
      <w:r>
        <w:rPr>
          <w:rFonts w:hint="eastAsia" w:ascii="宋体" w:hAnsi="宋体"/>
          <w:b/>
          <w:color w:val="auto"/>
          <w:sz w:val="24"/>
          <w:szCs w:val="24"/>
          <w:highlight w:val="none"/>
        </w:rPr>
        <w:t>永久补流</w:t>
      </w:r>
      <w:bookmarkEnd w:id="3"/>
      <w:r>
        <w:rPr>
          <w:rFonts w:hint="eastAsia" w:ascii="宋体" w:hAnsi="宋体"/>
          <w:b/>
          <w:color w:val="auto"/>
          <w:sz w:val="24"/>
          <w:szCs w:val="24"/>
          <w:highlight w:val="none"/>
        </w:rPr>
        <w:t>及注销募集资金专户的议案》</w:t>
      </w:r>
    </w:p>
    <w:p w14:paraId="1B85F58A">
      <w:pPr>
        <w:autoSpaceDE w:val="0"/>
        <w:autoSpaceDN w:val="0"/>
        <w:adjustRightInd w:val="0"/>
        <w:snapToGrid w:val="0"/>
        <w:spacing w:line="560" w:lineRule="exact"/>
        <w:ind w:firstLine="482" w:firstLineChars="200"/>
        <w:rPr>
          <w:rFonts w:hint="eastAsia" w:ascii="宋体" w:hAnsi="宋体" w:eastAsia="宋体" w:cs="宋体"/>
          <w:color w:val="auto"/>
          <w:sz w:val="24"/>
          <w:szCs w:val="24"/>
          <w:highlight w:val="none"/>
        </w:rPr>
      </w:pPr>
      <w:r>
        <w:rPr>
          <w:rFonts w:hint="eastAsia" w:ascii="宋体" w:hAnsi="宋体"/>
          <w:b/>
          <w:color w:val="auto"/>
          <w:sz w:val="24"/>
          <w:szCs w:val="24"/>
          <w:highlight w:val="none"/>
        </w:rPr>
        <w:t xml:space="preserve"> </w:t>
      </w:r>
      <w:r>
        <w:rPr>
          <w:rFonts w:hint="eastAsia" w:ascii="宋体" w:hAnsi="宋体" w:eastAsia="宋体" w:cs="宋体"/>
          <w:color w:val="auto"/>
          <w:sz w:val="24"/>
          <w:szCs w:val="24"/>
          <w:highlight w:val="none"/>
        </w:rPr>
        <w:t>相关内容详见公司同日刊登在指定媒体及上海证券交易所网站上的《关于首次公开发行股票募投项目结项并将节余募集资金永久补流及注销募集资金专户的公告》（公告编号：2025-058）。</w:t>
      </w:r>
    </w:p>
    <w:p w14:paraId="11839719">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38AEE82D">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该议案已经公司第四届董事会审计委员会第十次会议审议通过。</w:t>
      </w:r>
    </w:p>
    <w:p w14:paraId="437D615A">
      <w:pPr>
        <w:numPr>
          <w:ilvl w:val="0"/>
          <w:numId w:val="12"/>
        </w:numPr>
        <w:autoSpaceDE w:val="0"/>
        <w:autoSpaceDN w:val="0"/>
        <w:adjustRightInd w:val="0"/>
        <w:snapToGrid w:val="0"/>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审议通过《关于终止实施2024年限制性股票激励计划暨回购注销相关股票并调整回购价格的议案》</w:t>
      </w:r>
    </w:p>
    <w:p w14:paraId="1BDA1AC1">
      <w:pPr>
        <w:autoSpaceDE w:val="0"/>
        <w:autoSpaceDN w:val="0"/>
        <w:adjustRightInd w:val="0"/>
        <w:snapToGrid w:val="0"/>
        <w:spacing w:line="56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相关内容详见公司同日刊登在指定媒体及上海证券交易所网站上的《关于终止实施2024年限制性股票激励计划暨回购注销相关股票并调整回购价格的公告》（公告编号：2025-059）。</w:t>
      </w:r>
    </w:p>
    <w:p w14:paraId="47206BDE">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关联董事</w:t>
      </w:r>
      <w:r>
        <w:rPr>
          <w:rFonts w:hint="eastAsia" w:ascii="宋体" w:hAnsi="宋体" w:eastAsia="宋体" w:cs="宋体"/>
          <w:color w:val="auto"/>
          <w:sz w:val="24"/>
          <w:szCs w:val="24"/>
          <w:highlight w:val="none"/>
        </w:rPr>
        <w:t>杨林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胡守天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王海波和付康</w:t>
      </w:r>
      <w:r>
        <w:rPr>
          <w:rFonts w:hint="eastAsia" w:ascii="宋体" w:hAnsi="宋体" w:eastAsia="宋体" w:cs="宋体"/>
          <w:color w:val="auto"/>
          <w:sz w:val="24"/>
          <w:szCs w:val="24"/>
          <w:highlight w:val="none"/>
          <w:lang w:val="en-US" w:eastAsia="zh-CN"/>
        </w:rPr>
        <w:t>回避表决。</w:t>
      </w:r>
    </w:p>
    <w:p w14:paraId="38AC6846">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票；反对0票；弃权0票。</w:t>
      </w:r>
    </w:p>
    <w:p w14:paraId="1C392D81">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该议案已经公司第四届董事会薪酬与考核委员会第六次会议审议通过，尚需提交股东会审议。</w:t>
      </w:r>
    </w:p>
    <w:p w14:paraId="6E4289C0">
      <w:pPr>
        <w:numPr>
          <w:ilvl w:val="0"/>
          <w:numId w:val="12"/>
        </w:numPr>
        <w:autoSpaceDE w:val="0"/>
        <w:autoSpaceDN w:val="0"/>
        <w:adjustRightInd w:val="0"/>
        <w:snapToGrid w:val="0"/>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审议通过《关于注销公司已回购未使用股票的议案》</w:t>
      </w:r>
    </w:p>
    <w:p w14:paraId="0B523189">
      <w:pPr>
        <w:autoSpaceDE w:val="0"/>
        <w:autoSpaceDN w:val="0"/>
        <w:adjustRightInd w:val="0"/>
        <w:snapToGrid w:val="0"/>
        <w:spacing w:line="56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相关内容详见公司同日刊登在指定媒体及上海证券交易所网站上的《关于注销公司已回购未使用股票的公告》（公告编号：2025-060）。</w:t>
      </w:r>
    </w:p>
    <w:p w14:paraId="02E57FD3">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66857ED4">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该议案已经公司第四届董事会薪酬与考核委员会第六次会议审议通过，尚需提交股东会审议。</w:t>
      </w:r>
    </w:p>
    <w:p w14:paraId="481A839F">
      <w:pPr>
        <w:numPr>
          <w:ilvl w:val="0"/>
          <w:numId w:val="12"/>
        </w:numPr>
        <w:autoSpaceDE w:val="0"/>
        <w:autoSpaceDN w:val="0"/>
        <w:adjustRightInd w:val="0"/>
        <w:snapToGrid w:val="0"/>
        <w:spacing w:line="56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审议通过《关于2026年度</w:t>
      </w:r>
      <w:bookmarkStart w:id="4" w:name="OLE_LINK5"/>
      <w:r>
        <w:rPr>
          <w:rFonts w:hint="eastAsia" w:ascii="宋体" w:hAnsi="宋体" w:eastAsia="宋体" w:cs="宋体"/>
          <w:b/>
          <w:bCs/>
          <w:color w:val="auto"/>
          <w:sz w:val="24"/>
          <w:szCs w:val="24"/>
          <w:highlight w:val="none"/>
        </w:rPr>
        <w:t>财务预算报告</w:t>
      </w:r>
      <w:bookmarkEnd w:id="4"/>
      <w:r>
        <w:rPr>
          <w:rFonts w:hint="eastAsia" w:ascii="宋体" w:hAnsi="宋体" w:eastAsia="宋体" w:cs="宋体"/>
          <w:b/>
          <w:bCs/>
          <w:color w:val="auto"/>
          <w:sz w:val="24"/>
          <w:szCs w:val="24"/>
          <w:highlight w:val="none"/>
        </w:rPr>
        <w:t>的议案》</w:t>
      </w:r>
    </w:p>
    <w:p w14:paraId="3BE5CBB9">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董事会同意公司2026年财务预算报告。</w:t>
      </w:r>
    </w:p>
    <w:p w14:paraId="23909A75">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40557EA9">
      <w:pPr>
        <w:autoSpaceDE w:val="0"/>
        <w:autoSpaceDN w:val="0"/>
        <w:adjustRightInd w:val="0"/>
        <w:snapToGrid w:val="0"/>
        <w:spacing w:line="560" w:lineRule="exact"/>
        <w:ind w:left="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该议案已经公司第四届董事会审计委员会第十次会议审议通过。</w:t>
      </w:r>
    </w:p>
    <w:p w14:paraId="02DE73B8">
      <w:pPr>
        <w:numPr>
          <w:ilvl w:val="0"/>
          <w:numId w:val="12"/>
        </w:numPr>
        <w:autoSpaceDE w:val="0"/>
        <w:autoSpaceDN w:val="0"/>
        <w:adjustRightInd w:val="0"/>
        <w:snapToGrid w:val="0"/>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审议通过《关于预计2026年度向银行等金融机构申请综合授信额度及为子公司提供融资担保额度的议案》</w:t>
      </w:r>
    </w:p>
    <w:p w14:paraId="18F31B06">
      <w:pPr>
        <w:autoSpaceDE w:val="0"/>
        <w:autoSpaceDN w:val="0"/>
        <w:adjustRightInd w:val="0"/>
        <w:snapToGrid w:val="0"/>
        <w:spacing w:line="56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相关内容详见公司同日刊登在指定媒体及上海证券交易所网站上的《关于预计2026年度向银行等金融机构申请综合授信额度的公告》（公告编号：2025-061）和《关于预计2026年度为子公司提供融资担保额度的公告》（公告编号：2025-062）。</w:t>
      </w:r>
    </w:p>
    <w:p w14:paraId="26D0347D">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36695FD4">
      <w:pPr>
        <w:autoSpaceDE w:val="0"/>
        <w:autoSpaceDN w:val="0"/>
        <w:adjustRightInd w:val="0"/>
        <w:snapToGrid w:val="0"/>
        <w:spacing w:line="560" w:lineRule="exact"/>
        <w:ind w:left="482"/>
        <w:rPr>
          <w:rFonts w:hint="eastAsia" w:ascii="宋体" w:hAnsi="宋体" w:eastAsia="宋体" w:cs="宋体"/>
          <w:bCs/>
          <w:color w:val="auto"/>
          <w:sz w:val="24"/>
          <w:szCs w:val="24"/>
          <w:highlight w:val="none"/>
        </w:rPr>
      </w:pPr>
      <w:r>
        <w:rPr>
          <w:rFonts w:hint="eastAsia" w:ascii="宋体" w:hAnsi="宋体" w:eastAsia="宋体" w:cs="宋体"/>
          <w:bCs/>
          <w:color w:val="auto"/>
          <w:sz w:val="24"/>
          <w:highlight w:val="none"/>
        </w:rPr>
        <w:t>该议案已经公司第四届董事会战略委员会第五次会议、</w:t>
      </w:r>
      <w:r>
        <w:rPr>
          <w:rFonts w:hint="eastAsia" w:ascii="宋体" w:hAnsi="宋体" w:eastAsia="宋体" w:cs="宋体"/>
          <w:bCs/>
          <w:color w:val="auto"/>
          <w:sz w:val="24"/>
          <w:szCs w:val="24"/>
          <w:highlight w:val="none"/>
        </w:rPr>
        <w:t>第四届董事会审计委</w:t>
      </w:r>
    </w:p>
    <w:p w14:paraId="66CF2A42">
      <w:pPr>
        <w:autoSpaceDE w:val="0"/>
        <w:autoSpaceDN w:val="0"/>
        <w:adjustRightInd w:val="0"/>
        <w:snapToGrid w:val="0"/>
        <w:spacing w:line="560" w:lineRule="exact"/>
        <w:rPr>
          <w:rFonts w:hint="eastAsia" w:ascii="宋体" w:hAnsi="宋体" w:eastAsia="仿宋" w:cs="宋体"/>
          <w:b/>
          <w:bCs/>
          <w:color w:val="auto"/>
          <w:sz w:val="24"/>
          <w:szCs w:val="24"/>
          <w:highlight w:val="none"/>
        </w:rPr>
      </w:pPr>
      <w:r>
        <w:rPr>
          <w:rFonts w:hint="eastAsia" w:ascii="宋体" w:hAnsi="宋体" w:eastAsia="宋体" w:cs="宋体"/>
          <w:bCs/>
          <w:color w:val="auto"/>
          <w:sz w:val="24"/>
          <w:szCs w:val="24"/>
          <w:highlight w:val="none"/>
        </w:rPr>
        <w:t>员会第十次会议审议通过，</w:t>
      </w:r>
      <w:r>
        <w:rPr>
          <w:rFonts w:hint="eastAsia" w:ascii="宋体" w:hAnsi="宋体" w:eastAsia="宋体" w:cs="宋体"/>
          <w:color w:val="auto"/>
          <w:sz w:val="24"/>
          <w:szCs w:val="24"/>
          <w:highlight w:val="none"/>
        </w:rPr>
        <w:t>尚需提交股东会审议</w:t>
      </w:r>
      <w:r>
        <w:rPr>
          <w:rFonts w:hint="eastAsia" w:ascii="宋体" w:hAnsi="宋体" w:eastAsia="宋体" w:cs="宋体"/>
          <w:bCs/>
          <w:color w:val="auto"/>
          <w:sz w:val="24"/>
          <w:szCs w:val="24"/>
          <w:highlight w:val="none"/>
        </w:rPr>
        <w:t>。</w:t>
      </w:r>
    </w:p>
    <w:p w14:paraId="00D3A1C5">
      <w:pPr>
        <w:numPr>
          <w:ilvl w:val="0"/>
          <w:numId w:val="12"/>
        </w:numPr>
        <w:autoSpaceDE w:val="0"/>
        <w:autoSpaceDN w:val="0"/>
        <w:adjustRightInd w:val="0"/>
        <w:snapToGrid w:val="0"/>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审议通过《关于预计2026年度日常关联交易的议案》</w:t>
      </w:r>
    </w:p>
    <w:p w14:paraId="497C33DE">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相关内容详见公司同日刊登在指定媒体及上海证券交易所网站上的《关于预计2026年度日常关联交易的公告》（公告编号：2025-063）</w:t>
      </w:r>
    </w:p>
    <w:p w14:paraId="6BBA083F">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5E6F839D">
      <w:pPr>
        <w:autoSpaceDE w:val="0"/>
        <w:autoSpaceDN w:val="0"/>
        <w:adjustRightInd w:val="0"/>
        <w:snapToGrid w:val="0"/>
        <w:spacing w:line="560" w:lineRule="exact"/>
        <w:ind w:left="48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该议案已经公司</w:t>
      </w:r>
      <w:r>
        <w:rPr>
          <w:rFonts w:hint="eastAsia" w:ascii="宋体" w:hAnsi="宋体" w:eastAsia="宋体" w:cs="宋体"/>
          <w:color w:val="auto"/>
          <w:sz w:val="24"/>
          <w:szCs w:val="24"/>
          <w:highlight w:val="none"/>
        </w:rPr>
        <w:t>第四届董事会审计委员会第十次会议和第四届董事会独立</w:t>
      </w:r>
    </w:p>
    <w:p w14:paraId="25FE2209">
      <w:pPr>
        <w:autoSpaceDE w:val="0"/>
        <w:autoSpaceDN w:val="0"/>
        <w:adjustRightInd w:val="0"/>
        <w:snapToGrid w:val="0"/>
        <w:spacing w:line="560" w:lineRule="exact"/>
        <w:rPr>
          <w:rFonts w:hint="eastAsia" w:ascii="宋体" w:hAnsi="宋体" w:eastAsia="宋体"/>
          <w:b/>
          <w:color w:val="auto"/>
          <w:sz w:val="24"/>
          <w:szCs w:val="24"/>
          <w:highlight w:val="none"/>
        </w:rPr>
      </w:pPr>
      <w:r>
        <w:rPr>
          <w:rFonts w:hint="eastAsia" w:ascii="宋体" w:hAnsi="宋体" w:eastAsia="宋体" w:cs="宋体"/>
          <w:color w:val="auto"/>
          <w:sz w:val="24"/>
          <w:szCs w:val="24"/>
          <w:highlight w:val="none"/>
        </w:rPr>
        <w:t>董事专门委员会第四次会议审议通过。</w:t>
      </w:r>
    </w:p>
    <w:p w14:paraId="196ED9BC">
      <w:pPr>
        <w:numPr>
          <w:ilvl w:val="0"/>
          <w:numId w:val="12"/>
        </w:numPr>
        <w:autoSpaceDE w:val="0"/>
        <w:autoSpaceDN w:val="0"/>
        <w:adjustRightInd w:val="0"/>
        <w:snapToGrid w:val="0"/>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审议通过《关于预计2026年度使用闲置自有资金进行现金管理的议案》</w:t>
      </w:r>
    </w:p>
    <w:p w14:paraId="3904C498">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相关内容详见公司同日刊登在指定媒体及上海证券交易所网站上的《关于预计2026年度使用闲置自有资金进行现金管理的公告》（公告编号：2025-064）</w:t>
      </w:r>
    </w:p>
    <w:p w14:paraId="0B2C4F26">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0A0FDB7D">
      <w:pPr>
        <w:autoSpaceDE w:val="0"/>
        <w:autoSpaceDN w:val="0"/>
        <w:adjustRightInd w:val="0"/>
        <w:snapToGrid w:val="0"/>
        <w:spacing w:line="560" w:lineRule="exact"/>
        <w:ind w:left="482"/>
        <w:rPr>
          <w:rFonts w:hint="eastAsia" w:ascii="宋体" w:hAnsi="宋体" w:eastAsia="宋体"/>
          <w:b/>
          <w:color w:val="auto"/>
          <w:sz w:val="24"/>
          <w:szCs w:val="24"/>
          <w:highlight w:val="none"/>
        </w:rPr>
      </w:pPr>
      <w:r>
        <w:rPr>
          <w:rFonts w:hint="eastAsia" w:ascii="宋体" w:hAnsi="宋体" w:eastAsia="宋体" w:cs="宋体"/>
          <w:bCs/>
          <w:color w:val="auto"/>
          <w:sz w:val="24"/>
          <w:highlight w:val="none"/>
        </w:rPr>
        <w:t>该议案已经公司</w:t>
      </w:r>
      <w:r>
        <w:rPr>
          <w:rFonts w:hint="eastAsia" w:ascii="宋体" w:hAnsi="宋体" w:eastAsia="宋体" w:cs="宋体"/>
          <w:color w:val="auto"/>
          <w:sz w:val="24"/>
          <w:szCs w:val="24"/>
          <w:highlight w:val="none"/>
        </w:rPr>
        <w:t>第四届董事会审计委员会第十次会议审议通过。</w:t>
      </w:r>
    </w:p>
    <w:p w14:paraId="4F4C00E4">
      <w:pPr>
        <w:autoSpaceDE w:val="0"/>
        <w:autoSpaceDN w:val="0"/>
        <w:adjustRightInd w:val="0"/>
        <w:snapToGrid w:val="0"/>
        <w:spacing w:line="560" w:lineRule="exact"/>
        <w:ind w:left="420" w:leftChars="200"/>
        <w:rPr>
          <w:rFonts w:hint="eastAsia" w:ascii="宋体" w:hAnsi="宋体" w:eastAsia="宋体" w:cs="宋体"/>
          <w:b/>
          <w:bCs/>
          <w:color w:val="auto"/>
          <w:sz w:val="24"/>
          <w:szCs w:val="24"/>
          <w:highlight w:val="none"/>
        </w:rPr>
      </w:pPr>
    </w:p>
    <w:p w14:paraId="234BB067">
      <w:pPr>
        <w:numPr>
          <w:ilvl w:val="0"/>
          <w:numId w:val="12"/>
        </w:numPr>
        <w:autoSpaceDE w:val="0"/>
        <w:autoSpaceDN w:val="0"/>
        <w:adjustRightInd w:val="0"/>
        <w:snapToGrid w:val="0"/>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审议通过《关于预计2026年度开展外汇套期保值业务的议案》</w:t>
      </w:r>
    </w:p>
    <w:p w14:paraId="4A605136">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相关内容详见公司同日刊登在指定媒体及上海证券交易所网站上的《关于预计2026年度开展外汇套期保值业务的公告》（公告编号：2025-065）</w:t>
      </w:r>
    </w:p>
    <w:p w14:paraId="744CC739">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6B6BECA6">
      <w:pPr>
        <w:autoSpaceDE w:val="0"/>
        <w:autoSpaceDN w:val="0"/>
        <w:adjustRightInd w:val="0"/>
        <w:snapToGrid w:val="0"/>
        <w:spacing w:line="560" w:lineRule="exact"/>
        <w:ind w:left="482"/>
        <w:rPr>
          <w:rFonts w:hint="eastAsia" w:ascii="宋体" w:hAnsi="宋体" w:eastAsia="宋体" w:cs="宋体"/>
          <w:b/>
          <w:bCs/>
          <w:color w:val="auto"/>
          <w:sz w:val="24"/>
          <w:szCs w:val="24"/>
          <w:highlight w:val="none"/>
        </w:rPr>
      </w:pPr>
      <w:r>
        <w:rPr>
          <w:rFonts w:hint="eastAsia" w:ascii="宋体" w:hAnsi="宋体" w:eastAsia="宋体" w:cs="宋体"/>
          <w:bCs/>
          <w:color w:val="auto"/>
          <w:sz w:val="24"/>
          <w:highlight w:val="none"/>
        </w:rPr>
        <w:t>该议案已经公司</w:t>
      </w:r>
      <w:r>
        <w:rPr>
          <w:rFonts w:hint="eastAsia" w:ascii="宋体" w:hAnsi="宋体" w:eastAsia="宋体" w:cs="宋体"/>
          <w:color w:val="auto"/>
          <w:sz w:val="24"/>
          <w:szCs w:val="24"/>
          <w:highlight w:val="none"/>
        </w:rPr>
        <w:t>第四届董事会审计委员会第十次会议审议通过。</w:t>
      </w:r>
    </w:p>
    <w:p w14:paraId="2070CFEB">
      <w:pPr>
        <w:numPr>
          <w:ilvl w:val="0"/>
          <w:numId w:val="12"/>
        </w:numPr>
        <w:autoSpaceDE w:val="0"/>
        <w:autoSpaceDN w:val="0"/>
        <w:adjustRightInd w:val="0"/>
        <w:snapToGrid w:val="0"/>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审议通过《关于提请召开2025年第一次临时股东会的议案》</w:t>
      </w:r>
    </w:p>
    <w:p w14:paraId="34B1F660">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相关内容详见公司同日刊登在指定媒体及上海证券交易所网站上的《关于召开2025年第一次临时股东会的通知》（公告编号：2025-066）</w:t>
      </w:r>
    </w:p>
    <w:p w14:paraId="256A3668">
      <w:pPr>
        <w:autoSpaceDE w:val="0"/>
        <w:autoSpaceDN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表决结果：同意9票；反对0票；弃权0票。</w:t>
      </w:r>
    </w:p>
    <w:p w14:paraId="571C9A17">
      <w:pPr>
        <w:pStyle w:val="95"/>
        <w:autoSpaceDE w:val="0"/>
        <w:autoSpaceDN w:val="0"/>
        <w:adjustRightInd w:val="0"/>
        <w:snapToGrid w:val="0"/>
        <w:spacing w:line="560" w:lineRule="exact"/>
        <w:ind w:firstLine="0" w:firstLineChars="0"/>
        <w:rPr>
          <w:rFonts w:hint="eastAsia" w:ascii="宋体" w:hAnsi="宋体"/>
          <w:b/>
          <w:color w:val="auto"/>
          <w:sz w:val="24"/>
          <w:szCs w:val="24"/>
          <w:highlight w:val="none"/>
        </w:rPr>
      </w:pPr>
    </w:p>
    <w:p w14:paraId="6AA0F989">
      <w:pPr>
        <w:adjustRightInd w:val="0"/>
        <w:snapToGrid w:val="0"/>
        <w:spacing w:line="56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特此公告。</w:t>
      </w:r>
    </w:p>
    <w:p w14:paraId="2DE373B6">
      <w:pPr>
        <w:adjustRightInd w:val="0"/>
        <w:snapToGrid w:val="0"/>
        <w:spacing w:line="560" w:lineRule="exact"/>
        <w:ind w:firstLine="480" w:firstLineChars="200"/>
        <w:rPr>
          <w:rFonts w:hint="eastAsia" w:ascii="宋体" w:hAnsi="宋体" w:eastAsia="宋体"/>
          <w:color w:val="auto"/>
          <w:sz w:val="24"/>
          <w:szCs w:val="24"/>
          <w:highlight w:val="none"/>
        </w:rPr>
      </w:pPr>
    </w:p>
    <w:p w14:paraId="6B7141B4">
      <w:pPr>
        <w:adjustRightInd w:val="0"/>
        <w:snapToGrid w:val="0"/>
        <w:spacing w:line="560" w:lineRule="exact"/>
        <w:ind w:firstLine="480" w:firstLineChars="200"/>
        <w:jc w:val="right"/>
        <w:rPr>
          <w:rFonts w:hint="eastAsia" w:ascii="宋体" w:hAnsi="宋体" w:eastAsia="宋体"/>
          <w:color w:val="auto"/>
          <w:sz w:val="24"/>
          <w:szCs w:val="24"/>
          <w:highlight w:val="none"/>
        </w:rPr>
      </w:pPr>
      <w:r>
        <w:rPr>
          <w:rFonts w:hint="eastAsia" w:ascii="宋体" w:hAnsi="宋体" w:eastAsia="宋体" w:cs="宋体"/>
          <w:color w:val="auto"/>
          <w:kern w:val="0"/>
          <w:sz w:val="24"/>
          <w:szCs w:val="24"/>
          <w:highlight w:val="none"/>
        </w:rPr>
        <w:t>重庆望变电气（集团）</w:t>
      </w:r>
      <w:r>
        <w:rPr>
          <w:rFonts w:hint="eastAsia" w:ascii="宋体" w:hAnsi="宋体" w:eastAsia="宋体" w:cs="仿宋_GB2312"/>
          <w:color w:val="auto"/>
          <w:sz w:val="24"/>
          <w:szCs w:val="24"/>
          <w:highlight w:val="none"/>
        </w:rPr>
        <w:t>股</w:t>
      </w:r>
      <w:r>
        <w:rPr>
          <w:rFonts w:hint="eastAsia" w:ascii="宋体" w:hAnsi="宋体" w:eastAsia="宋体"/>
          <w:color w:val="auto"/>
          <w:sz w:val="24"/>
          <w:szCs w:val="24"/>
          <w:highlight w:val="none"/>
        </w:rPr>
        <w:t>份有限公司董事会</w:t>
      </w:r>
    </w:p>
    <w:p w14:paraId="5F8F0548">
      <w:pPr>
        <w:adjustRightInd w:val="0"/>
        <w:snapToGrid w:val="0"/>
        <w:spacing w:line="560" w:lineRule="exact"/>
        <w:ind w:firstLine="480" w:firstLineChars="200"/>
        <w:jc w:val="righ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2025年12月11日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14:paraId="12277BDD">
        <w:pPr>
          <w:pStyle w:val="55"/>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abstractNum w:abstractNumId="10">
    <w:nsid w:val="05337EBE"/>
    <w:multiLevelType w:val="singleLevel"/>
    <w:tmpl w:val="05337EBE"/>
    <w:lvl w:ilvl="0" w:tentative="0">
      <w:start w:val="2"/>
      <w:numFmt w:val="chineseCounting"/>
      <w:suff w:val="nothing"/>
      <w:lvlText w:val="（%1）"/>
      <w:lvlJc w:val="left"/>
      <w:rPr>
        <w:rFonts w:hint="eastAsia"/>
      </w:rPr>
    </w:lvl>
  </w:abstractNum>
  <w:abstractNum w:abstractNumId="11">
    <w:nsid w:val="5F1A283A"/>
    <w:multiLevelType w:val="multilevel"/>
    <w:tmpl w:val="5F1A283A"/>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lNzQyZmI5OWM5OGM0MjRkNWIyMzRjOTlhMGU0Y2QifQ=="/>
  </w:docVars>
  <w:rsids>
    <w:rsidRoot w:val="521827E2"/>
    <w:rsid w:val="00010BC9"/>
    <w:rsid w:val="0003670A"/>
    <w:rsid w:val="000378C7"/>
    <w:rsid w:val="00064FE8"/>
    <w:rsid w:val="00067BBE"/>
    <w:rsid w:val="00074F44"/>
    <w:rsid w:val="00076EFD"/>
    <w:rsid w:val="0008555B"/>
    <w:rsid w:val="000A40E4"/>
    <w:rsid w:val="000B1A1F"/>
    <w:rsid w:val="000B61E2"/>
    <w:rsid w:val="000C72A9"/>
    <w:rsid w:val="000C7F00"/>
    <w:rsid w:val="000D3DA9"/>
    <w:rsid w:val="000D409C"/>
    <w:rsid w:val="000E7556"/>
    <w:rsid w:val="00123266"/>
    <w:rsid w:val="001254C4"/>
    <w:rsid w:val="001313EC"/>
    <w:rsid w:val="00140439"/>
    <w:rsid w:val="0014777F"/>
    <w:rsid w:val="001507FC"/>
    <w:rsid w:val="0016249D"/>
    <w:rsid w:val="001723E5"/>
    <w:rsid w:val="00173769"/>
    <w:rsid w:val="00192BD0"/>
    <w:rsid w:val="001A727A"/>
    <w:rsid w:val="001C1ED6"/>
    <w:rsid w:val="001D06CF"/>
    <w:rsid w:val="001D4E14"/>
    <w:rsid w:val="001D51B9"/>
    <w:rsid w:val="001E54CC"/>
    <w:rsid w:val="001E7E68"/>
    <w:rsid w:val="00201DED"/>
    <w:rsid w:val="002063F4"/>
    <w:rsid w:val="00207B64"/>
    <w:rsid w:val="00213B88"/>
    <w:rsid w:val="00220EF2"/>
    <w:rsid w:val="00225FE6"/>
    <w:rsid w:val="00230BE8"/>
    <w:rsid w:val="00252550"/>
    <w:rsid w:val="00256825"/>
    <w:rsid w:val="0027509E"/>
    <w:rsid w:val="00277255"/>
    <w:rsid w:val="002B229C"/>
    <w:rsid w:val="002D75BB"/>
    <w:rsid w:val="002E4043"/>
    <w:rsid w:val="002F3175"/>
    <w:rsid w:val="0030482B"/>
    <w:rsid w:val="003112C9"/>
    <w:rsid w:val="00321685"/>
    <w:rsid w:val="003505CE"/>
    <w:rsid w:val="00351429"/>
    <w:rsid w:val="003541EB"/>
    <w:rsid w:val="003571E3"/>
    <w:rsid w:val="00361DE1"/>
    <w:rsid w:val="0036446F"/>
    <w:rsid w:val="00391A1B"/>
    <w:rsid w:val="003E38F1"/>
    <w:rsid w:val="003F1451"/>
    <w:rsid w:val="004473CE"/>
    <w:rsid w:val="00455164"/>
    <w:rsid w:val="00464AFC"/>
    <w:rsid w:val="004A21C8"/>
    <w:rsid w:val="004A790E"/>
    <w:rsid w:val="004A7F01"/>
    <w:rsid w:val="004B5841"/>
    <w:rsid w:val="004D041E"/>
    <w:rsid w:val="004D0E8E"/>
    <w:rsid w:val="004F172D"/>
    <w:rsid w:val="00522BE2"/>
    <w:rsid w:val="0053579F"/>
    <w:rsid w:val="005429C2"/>
    <w:rsid w:val="0055216A"/>
    <w:rsid w:val="0056065B"/>
    <w:rsid w:val="005750AA"/>
    <w:rsid w:val="00575F03"/>
    <w:rsid w:val="00590E1E"/>
    <w:rsid w:val="00596B60"/>
    <w:rsid w:val="005A15BF"/>
    <w:rsid w:val="005A2954"/>
    <w:rsid w:val="005A3B72"/>
    <w:rsid w:val="005B7B64"/>
    <w:rsid w:val="005F57F9"/>
    <w:rsid w:val="006150E2"/>
    <w:rsid w:val="00615A0F"/>
    <w:rsid w:val="0063047D"/>
    <w:rsid w:val="00636BAE"/>
    <w:rsid w:val="006629E9"/>
    <w:rsid w:val="006704CD"/>
    <w:rsid w:val="00672360"/>
    <w:rsid w:val="00673916"/>
    <w:rsid w:val="00684FFB"/>
    <w:rsid w:val="006853CB"/>
    <w:rsid w:val="006A3328"/>
    <w:rsid w:val="006A773E"/>
    <w:rsid w:val="006E4DD1"/>
    <w:rsid w:val="006F3EE0"/>
    <w:rsid w:val="006F46B8"/>
    <w:rsid w:val="007227E1"/>
    <w:rsid w:val="00726F44"/>
    <w:rsid w:val="00732B9D"/>
    <w:rsid w:val="00770F37"/>
    <w:rsid w:val="00771C4D"/>
    <w:rsid w:val="0078004A"/>
    <w:rsid w:val="007A61FA"/>
    <w:rsid w:val="007B073D"/>
    <w:rsid w:val="007B1916"/>
    <w:rsid w:val="007B5DA0"/>
    <w:rsid w:val="007C3FFA"/>
    <w:rsid w:val="007E572E"/>
    <w:rsid w:val="007F703D"/>
    <w:rsid w:val="007F7EDC"/>
    <w:rsid w:val="008162CF"/>
    <w:rsid w:val="008320FC"/>
    <w:rsid w:val="0084121D"/>
    <w:rsid w:val="0084422E"/>
    <w:rsid w:val="00854FC4"/>
    <w:rsid w:val="00856E6D"/>
    <w:rsid w:val="00857D3D"/>
    <w:rsid w:val="008670E3"/>
    <w:rsid w:val="00890389"/>
    <w:rsid w:val="008971B8"/>
    <w:rsid w:val="008A5E36"/>
    <w:rsid w:val="008E4B6F"/>
    <w:rsid w:val="0090186C"/>
    <w:rsid w:val="00902203"/>
    <w:rsid w:val="00906FA1"/>
    <w:rsid w:val="00915D39"/>
    <w:rsid w:val="00923C08"/>
    <w:rsid w:val="00944E59"/>
    <w:rsid w:val="00947C32"/>
    <w:rsid w:val="009679A2"/>
    <w:rsid w:val="00984298"/>
    <w:rsid w:val="00992126"/>
    <w:rsid w:val="009A6585"/>
    <w:rsid w:val="009B47DE"/>
    <w:rsid w:val="009D1A30"/>
    <w:rsid w:val="009E3152"/>
    <w:rsid w:val="009E3407"/>
    <w:rsid w:val="00A01CB8"/>
    <w:rsid w:val="00A05D77"/>
    <w:rsid w:val="00A35D17"/>
    <w:rsid w:val="00A40BAA"/>
    <w:rsid w:val="00A41695"/>
    <w:rsid w:val="00A51C23"/>
    <w:rsid w:val="00A52057"/>
    <w:rsid w:val="00A53142"/>
    <w:rsid w:val="00A5357E"/>
    <w:rsid w:val="00A57119"/>
    <w:rsid w:val="00A6762D"/>
    <w:rsid w:val="00A71BDF"/>
    <w:rsid w:val="00A81E75"/>
    <w:rsid w:val="00A823F8"/>
    <w:rsid w:val="00AC3419"/>
    <w:rsid w:val="00AC4ADD"/>
    <w:rsid w:val="00AD0F9E"/>
    <w:rsid w:val="00AD4F8C"/>
    <w:rsid w:val="00B016E7"/>
    <w:rsid w:val="00B04992"/>
    <w:rsid w:val="00B13254"/>
    <w:rsid w:val="00B3614E"/>
    <w:rsid w:val="00B574F9"/>
    <w:rsid w:val="00B61EEE"/>
    <w:rsid w:val="00B908AE"/>
    <w:rsid w:val="00B9137C"/>
    <w:rsid w:val="00B971E4"/>
    <w:rsid w:val="00BA49C4"/>
    <w:rsid w:val="00BB61B6"/>
    <w:rsid w:val="00BC233A"/>
    <w:rsid w:val="00BD3997"/>
    <w:rsid w:val="00BE7D13"/>
    <w:rsid w:val="00BF7BDB"/>
    <w:rsid w:val="00C009B6"/>
    <w:rsid w:val="00C47186"/>
    <w:rsid w:val="00C55BBD"/>
    <w:rsid w:val="00C56BA2"/>
    <w:rsid w:val="00C5768F"/>
    <w:rsid w:val="00C60D2B"/>
    <w:rsid w:val="00C61629"/>
    <w:rsid w:val="00C7508F"/>
    <w:rsid w:val="00CD08C9"/>
    <w:rsid w:val="00CF4977"/>
    <w:rsid w:val="00D0125D"/>
    <w:rsid w:val="00D015C9"/>
    <w:rsid w:val="00D25F85"/>
    <w:rsid w:val="00D4059C"/>
    <w:rsid w:val="00D45861"/>
    <w:rsid w:val="00D46F41"/>
    <w:rsid w:val="00D65BA4"/>
    <w:rsid w:val="00D76D97"/>
    <w:rsid w:val="00D774C9"/>
    <w:rsid w:val="00D8189C"/>
    <w:rsid w:val="00D92E4C"/>
    <w:rsid w:val="00DB17CE"/>
    <w:rsid w:val="00DB744D"/>
    <w:rsid w:val="00DC78D5"/>
    <w:rsid w:val="00DD1863"/>
    <w:rsid w:val="00DD62E6"/>
    <w:rsid w:val="00DE6E82"/>
    <w:rsid w:val="00DF73E8"/>
    <w:rsid w:val="00E1020D"/>
    <w:rsid w:val="00E301F1"/>
    <w:rsid w:val="00E558AE"/>
    <w:rsid w:val="00E65E63"/>
    <w:rsid w:val="00E667EA"/>
    <w:rsid w:val="00E746B0"/>
    <w:rsid w:val="00E818E9"/>
    <w:rsid w:val="00E82A34"/>
    <w:rsid w:val="00E86AC2"/>
    <w:rsid w:val="00E95F43"/>
    <w:rsid w:val="00EC0465"/>
    <w:rsid w:val="00EC3F66"/>
    <w:rsid w:val="00EC496E"/>
    <w:rsid w:val="00EE084C"/>
    <w:rsid w:val="00F0268C"/>
    <w:rsid w:val="00F2391F"/>
    <w:rsid w:val="00F36086"/>
    <w:rsid w:val="00F54E0B"/>
    <w:rsid w:val="00F670DD"/>
    <w:rsid w:val="00F70648"/>
    <w:rsid w:val="00FA105E"/>
    <w:rsid w:val="00FC17CB"/>
    <w:rsid w:val="00FD0FAD"/>
    <w:rsid w:val="00FE6306"/>
    <w:rsid w:val="00FF7741"/>
    <w:rsid w:val="01F619FC"/>
    <w:rsid w:val="02DE0368"/>
    <w:rsid w:val="05A607FA"/>
    <w:rsid w:val="075D1EA1"/>
    <w:rsid w:val="08317AF9"/>
    <w:rsid w:val="08C267FD"/>
    <w:rsid w:val="09D93D68"/>
    <w:rsid w:val="0AF40FFC"/>
    <w:rsid w:val="0D8043C0"/>
    <w:rsid w:val="0E674B34"/>
    <w:rsid w:val="0EA92395"/>
    <w:rsid w:val="0F18017D"/>
    <w:rsid w:val="0FA57A21"/>
    <w:rsid w:val="10D66D29"/>
    <w:rsid w:val="117C724A"/>
    <w:rsid w:val="13635A13"/>
    <w:rsid w:val="14367E5C"/>
    <w:rsid w:val="17026059"/>
    <w:rsid w:val="187C3374"/>
    <w:rsid w:val="18F173A7"/>
    <w:rsid w:val="1A002BED"/>
    <w:rsid w:val="1A0D63BE"/>
    <w:rsid w:val="1D2E5D9F"/>
    <w:rsid w:val="1DF06EC2"/>
    <w:rsid w:val="1F1F0A33"/>
    <w:rsid w:val="1F2E4445"/>
    <w:rsid w:val="1FE23BB8"/>
    <w:rsid w:val="20AF3C82"/>
    <w:rsid w:val="224340DA"/>
    <w:rsid w:val="229423A7"/>
    <w:rsid w:val="24BF504D"/>
    <w:rsid w:val="26176BC5"/>
    <w:rsid w:val="264F6618"/>
    <w:rsid w:val="279F537D"/>
    <w:rsid w:val="27BD77B9"/>
    <w:rsid w:val="29464F41"/>
    <w:rsid w:val="2A52523E"/>
    <w:rsid w:val="2A6940E5"/>
    <w:rsid w:val="2BBE6134"/>
    <w:rsid w:val="2D6053E1"/>
    <w:rsid w:val="2F9044D2"/>
    <w:rsid w:val="309E3BD0"/>
    <w:rsid w:val="30E156D2"/>
    <w:rsid w:val="30FE59B4"/>
    <w:rsid w:val="32270449"/>
    <w:rsid w:val="35B55AA7"/>
    <w:rsid w:val="35C36441"/>
    <w:rsid w:val="370A6850"/>
    <w:rsid w:val="380420A6"/>
    <w:rsid w:val="39781D0F"/>
    <w:rsid w:val="399364C7"/>
    <w:rsid w:val="3AA458EA"/>
    <w:rsid w:val="3ACB0BC3"/>
    <w:rsid w:val="3AF20164"/>
    <w:rsid w:val="3BE61717"/>
    <w:rsid w:val="3CF967B0"/>
    <w:rsid w:val="3F7453DF"/>
    <w:rsid w:val="407D24A9"/>
    <w:rsid w:val="40B53CC9"/>
    <w:rsid w:val="42991A4C"/>
    <w:rsid w:val="44D46601"/>
    <w:rsid w:val="454B7184"/>
    <w:rsid w:val="46ED5E7D"/>
    <w:rsid w:val="46F51AD5"/>
    <w:rsid w:val="487B7DFA"/>
    <w:rsid w:val="49352AAB"/>
    <w:rsid w:val="4A36568F"/>
    <w:rsid w:val="4CAC68D1"/>
    <w:rsid w:val="4CB26503"/>
    <w:rsid w:val="4D2E0486"/>
    <w:rsid w:val="4D700B0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B523B0"/>
    <w:rsid w:val="56C2207F"/>
    <w:rsid w:val="57B1777A"/>
    <w:rsid w:val="586A2E9C"/>
    <w:rsid w:val="59007E53"/>
    <w:rsid w:val="5B255A9F"/>
    <w:rsid w:val="5BB92D17"/>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A700F6F"/>
    <w:rsid w:val="6A823CB0"/>
    <w:rsid w:val="6B80514F"/>
    <w:rsid w:val="6C213E65"/>
    <w:rsid w:val="6EC21834"/>
    <w:rsid w:val="6EE511FF"/>
    <w:rsid w:val="6F8E647A"/>
    <w:rsid w:val="70466A21"/>
    <w:rsid w:val="71374B14"/>
    <w:rsid w:val="719B56EF"/>
    <w:rsid w:val="71E91A60"/>
    <w:rsid w:val="73CA2808"/>
    <w:rsid w:val="74102BF5"/>
    <w:rsid w:val="74251D33"/>
    <w:rsid w:val="74383A67"/>
    <w:rsid w:val="75E725A9"/>
    <w:rsid w:val="77C448DB"/>
    <w:rsid w:val="77D11EA6"/>
    <w:rsid w:val="785F7D87"/>
    <w:rsid w:val="795F0B11"/>
    <w:rsid w:val="7A165703"/>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iPriority="0" w:name="index 8"/>
    <w:lsdException w:qFormat="1" w:uiPriority="0" w:name="index 9"/>
    <w:lsdException w:qFormat="1" w:uiPriority="0" w:name="toc 1"/>
    <w:lsdException w:qFormat="1" w:uiPriority="0" w:name="toc 2"/>
    <w:lsdException w:qFormat="1" w:uiPriority="0" w:name="toc 3"/>
    <w:lsdException w:qFormat="1" w:uiPriority="0" w:name="toc 4"/>
    <w:lsdException w:qFormat="1" w:uiPriority="0" w:name="toc 5"/>
    <w:lsdException w:qFormat="1" w:uiPriority="0" w:name="toc 6"/>
    <w:lsdException w:qFormat="1" w:uiPriority="0" w:name="toc 7"/>
    <w:lsdException w:qFormat="1" w:uiPriority="0" w:name="toc 8"/>
    <w:lsdException w:qFormat="1" w:uiPriority="0" w:name="toc 9"/>
    <w:lsdException w:qFormat="1" w:uiPriority="0" w:name="Normal Indent"/>
    <w:lsdException w:qFormat="1"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0" w:name="index heading"/>
    <w:lsdException w:qFormat="1" w:uiPriority="0" w:name="caption"/>
    <w:lsdException w:qFormat="1" w:uiPriority="0" w:name="table of figures"/>
    <w:lsdException w:qFormat="1" w:uiPriority="0" w:name="envelope address"/>
    <w:lsdException w:qFormat="1"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qFormat="1" w:uiPriority="0" w:name="endnote text"/>
    <w:lsdException w:qFormat="1" w:unhideWhenUsed="0" w:uiPriority="0" w:semiHidden="0" w:name="table of authorities"/>
    <w:lsdException w:qFormat="1" w:uiPriority="0" w:name="macro"/>
    <w:lsdException w:qFormat="1" w:uiPriority="0" w:name="toa heading"/>
    <w:lsdException w:qFormat="1" w:unhideWhenUsed="0" w:uiPriority="0" w:semiHidden="0" w:name="List"/>
    <w:lsdException w:qFormat="1" w:unhideWhenUsed="0" w:uiPriority="0" w:semiHidden="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10" w:semiHidden="0" w:name="Title"/>
    <w:lsdException w:qFormat="1" w:uiPriority="0" w:name="Closing"/>
    <w:lsdException w:qFormat="1" w:uiPriority="0" w:name="Signature"/>
    <w:lsdException w:qFormat="1" w:uiPriority="1" w:name="Default Paragraph Font"/>
    <w:lsdException w:qFormat="1" w:uiPriority="0" w:name="Body Text"/>
    <w:lsdException w:qFormat="1" w:uiPriority="0" w:name="Body Text Indent"/>
    <w:lsdException w:qFormat="1" w:uiPriority="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0" w:semiHidden="0" w:name="Subtitle"/>
    <w:lsdException w:qFormat="1" w:uiPriority="0" w:name="Salutation"/>
    <w:lsdException w:qFormat="1" w:uiPriority="0" w:name="Date"/>
    <w:lsdException w:qFormat="1" w:uiPriority="0" w:name="Body Text First Indent"/>
    <w:lsdException w:qFormat="1" w:uiPriority="0" w:name="Body Text First Indent 2"/>
    <w:lsdException w:qFormat="1" w:uiPriority="0"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0" w:name="Document Map"/>
    <w:lsdException w:qFormat="1" w:uiPriority="0" w:name="Plain Text"/>
    <w:lsdException w:qFormat="1" w:uiPriority="0" w:name="E-mail Signature"/>
    <w:lsdException w:qFormat="1" w:uiPriority="0" w:name="Normal (Web)"/>
    <w:lsdException w:uiPriority="0" w:name="HTML Acronym"/>
    <w:lsdException w:qFormat="1"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iPriority="99" w:name="Quote"/>
    <w:lsdException w:qFormat="1"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4"/>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06"/>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07"/>
    <w:autoRedefine/>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08"/>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09"/>
    <w:autoRedefine/>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110"/>
    <w:autoRedefine/>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11"/>
    <w:autoRedefine/>
    <w:semiHidden/>
    <w:unhideWhenUsed/>
    <w:qFormat/>
    <w:uiPriority w:val="0"/>
    <w:pPr>
      <w:keepNext/>
      <w:keepLines/>
      <w:spacing w:before="240" w:after="64" w:line="320" w:lineRule="auto"/>
      <w:outlineLvl w:val="6"/>
    </w:pPr>
    <w:rPr>
      <w:b/>
      <w:bCs/>
      <w:sz w:val="24"/>
      <w:szCs w:val="24"/>
    </w:rPr>
  </w:style>
  <w:style w:type="paragraph" w:styleId="10">
    <w:name w:val="heading 8"/>
    <w:basedOn w:val="1"/>
    <w:next w:val="1"/>
    <w:link w:val="112"/>
    <w:autoRedefine/>
    <w:semiHidden/>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13"/>
    <w:autoRedefine/>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89">
    <w:name w:val="Default Paragraph Font"/>
    <w:semiHidden/>
    <w:unhideWhenUsed/>
    <w:qFormat/>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118"/>
    <w:autoRedefine/>
    <w:semiHidden/>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autoRedefine/>
    <w:semiHidden/>
    <w:unhideWhenUsed/>
    <w:qFormat/>
    <w:uiPriority w:val="0"/>
    <w:pPr>
      <w:ind w:left="100" w:leftChars="400" w:hanging="200" w:hangingChars="200"/>
      <w:contextualSpacing/>
    </w:pPr>
  </w:style>
  <w:style w:type="paragraph" w:styleId="13">
    <w:name w:val="toc 7"/>
    <w:basedOn w:val="1"/>
    <w:next w:val="1"/>
    <w:autoRedefine/>
    <w:semiHidden/>
    <w:unhideWhenUsed/>
    <w:qFormat/>
    <w:uiPriority w:val="0"/>
    <w:pPr>
      <w:ind w:left="2520" w:leftChars="1200"/>
    </w:pPr>
  </w:style>
  <w:style w:type="paragraph" w:styleId="14">
    <w:name w:val="List Number 2"/>
    <w:basedOn w:val="1"/>
    <w:autoRedefine/>
    <w:semiHidden/>
    <w:unhideWhenUsed/>
    <w:qFormat/>
    <w:uiPriority w:val="0"/>
    <w:pPr>
      <w:numPr>
        <w:ilvl w:val="0"/>
        <w:numId w:val="1"/>
      </w:numPr>
      <w:contextualSpacing/>
    </w:pPr>
  </w:style>
  <w:style w:type="paragraph" w:styleId="15">
    <w:name w:val="table of authorities"/>
    <w:basedOn w:val="1"/>
    <w:next w:val="1"/>
    <w:autoRedefine/>
    <w:qFormat/>
    <w:uiPriority w:val="0"/>
    <w:pPr>
      <w:ind w:left="420" w:leftChars="200"/>
    </w:pPr>
  </w:style>
  <w:style w:type="paragraph" w:styleId="16">
    <w:name w:val="Note Heading"/>
    <w:basedOn w:val="1"/>
    <w:next w:val="1"/>
    <w:link w:val="140"/>
    <w:autoRedefine/>
    <w:semiHidden/>
    <w:unhideWhenUsed/>
    <w:qFormat/>
    <w:uiPriority w:val="0"/>
    <w:pPr>
      <w:jc w:val="center"/>
    </w:pPr>
  </w:style>
  <w:style w:type="paragraph" w:styleId="17">
    <w:name w:val="List Bullet 4"/>
    <w:basedOn w:val="1"/>
    <w:autoRedefine/>
    <w:semiHidden/>
    <w:unhideWhenUsed/>
    <w:qFormat/>
    <w:uiPriority w:val="0"/>
    <w:pPr>
      <w:numPr>
        <w:ilvl w:val="0"/>
        <w:numId w:val="2"/>
      </w:numPr>
      <w:contextualSpacing/>
    </w:pPr>
  </w:style>
  <w:style w:type="paragraph" w:styleId="18">
    <w:name w:val="index 8"/>
    <w:basedOn w:val="1"/>
    <w:next w:val="1"/>
    <w:autoRedefine/>
    <w:semiHidden/>
    <w:unhideWhenUsed/>
    <w:qFormat/>
    <w:uiPriority w:val="0"/>
    <w:pPr>
      <w:ind w:left="1400" w:leftChars="1400"/>
    </w:pPr>
  </w:style>
  <w:style w:type="paragraph" w:styleId="19">
    <w:name w:val="E-mail Signature"/>
    <w:basedOn w:val="1"/>
    <w:link w:val="116"/>
    <w:autoRedefine/>
    <w:semiHidden/>
    <w:unhideWhenUsed/>
    <w:qFormat/>
    <w:uiPriority w:val="0"/>
  </w:style>
  <w:style w:type="paragraph" w:styleId="20">
    <w:name w:val="List Number"/>
    <w:basedOn w:val="1"/>
    <w:autoRedefine/>
    <w:semiHidden/>
    <w:unhideWhenUsed/>
    <w:qFormat/>
    <w:uiPriority w:val="0"/>
    <w:pPr>
      <w:numPr>
        <w:ilvl w:val="0"/>
        <w:numId w:val="3"/>
      </w:numPr>
      <w:contextualSpacing/>
    </w:pPr>
  </w:style>
  <w:style w:type="paragraph" w:styleId="21">
    <w:name w:val="Normal Indent"/>
    <w:basedOn w:val="1"/>
    <w:autoRedefine/>
    <w:semiHidden/>
    <w:unhideWhenUsed/>
    <w:qFormat/>
    <w:uiPriority w:val="0"/>
    <w:pPr>
      <w:ind w:firstLine="420" w:firstLineChars="200"/>
    </w:pPr>
  </w:style>
  <w:style w:type="paragraph" w:styleId="22">
    <w:name w:val="caption"/>
    <w:basedOn w:val="1"/>
    <w:next w:val="1"/>
    <w:autoRedefine/>
    <w:semiHidden/>
    <w:unhideWhenUsed/>
    <w:qFormat/>
    <w:uiPriority w:val="0"/>
    <w:rPr>
      <w:rFonts w:eastAsia="黑体" w:asciiTheme="majorHAnsi" w:hAnsiTheme="majorHAnsi" w:cstheme="majorBidi"/>
      <w:sz w:val="20"/>
      <w:szCs w:val="20"/>
    </w:rPr>
  </w:style>
  <w:style w:type="paragraph" w:styleId="23">
    <w:name w:val="index 5"/>
    <w:basedOn w:val="1"/>
    <w:next w:val="1"/>
    <w:autoRedefine/>
    <w:semiHidden/>
    <w:unhideWhenUsed/>
    <w:qFormat/>
    <w:uiPriority w:val="0"/>
    <w:pPr>
      <w:ind w:left="800" w:leftChars="800"/>
    </w:pPr>
  </w:style>
  <w:style w:type="paragraph" w:styleId="24">
    <w:name w:val="List Bullet"/>
    <w:basedOn w:val="1"/>
    <w:autoRedefine/>
    <w:qFormat/>
    <w:uiPriority w:val="0"/>
    <w:pPr>
      <w:numPr>
        <w:ilvl w:val="0"/>
        <w:numId w:val="4"/>
      </w:numPr>
      <w:contextualSpacing/>
    </w:pPr>
  </w:style>
  <w:style w:type="paragraph" w:styleId="25">
    <w:name w:val="envelope address"/>
    <w:basedOn w:val="1"/>
    <w:autoRedefine/>
    <w:semiHidden/>
    <w:unhideWhenUsed/>
    <w:qFormat/>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27"/>
    <w:autoRedefine/>
    <w:semiHidden/>
    <w:unhideWhenUsed/>
    <w:qFormat/>
    <w:uiPriority w:val="0"/>
    <w:rPr>
      <w:rFonts w:ascii="Microsoft YaHei UI" w:eastAsia="Microsoft YaHei UI"/>
      <w:sz w:val="18"/>
      <w:szCs w:val="18"/>
    </w:rPr>
  </w:style>
  <w:style w:type="paragraph" w:styleId="27">
    <w:name w:val="toa heading"/>
    <w:basedOn w:val="1"/>
    <w:next w:val="1"/>
    <w:autoRedefine/>
    <w:semiHidden/>
    <w:unhideWhenUsed/>
    <w:qFormat/>
    <w:uiPriority w:val="0"/>
    <w:pPr>
      <w:spacing w:before="120"/>
    </w:pPr>
    <w:rPr>
      <w:rFonts w:asciiTheme="majorHAnsi" w:hAnsiTheme="majorHAnsi" w:eastAsiaTheme="majorEastAsia" w:cstheme="majorBidi"/>
      <w:sz w:val="24"/>
      <w:szCs w:val="24"/>
    </w:rPr>
  </w:style>
  <w:style w:type="paragraph" w:styleId="28">
    <w:name w:val="annotation text"/>
    <w:basedOn w:val="1"/>
    <w:link w:val="97"/>
    <w:autoRedefine/>
    <w:qFormat/>
    <w:uiPriority w:val="0"/>
    <w:pPr>
      <w:jc w:val="left"/>
    </w:pPr>
  </w:style>
  <w:style w:type="paragraph" w:styleId="29">
    <w:name w:val="index 6"/>
    <w:basedOn w:val="1"/>
    <w:next w:val="1"/>
    <w:autoRedefine/>
    <w:semiHidden/>
    <w:unhideWhenUsed/>
    <w:qFormat/>
    <w:uiPriority w:val="0"/>
    <w:pPr>
      <w:ind w:left="1000" w:leftChars="1000"/>
    </w:pPr>
  </w:style>
  <w:style w:type="paragraph" w:styleId="30">
    <w:name w:val="Salutation"/>
    <w:basedOn w:val="1"/>
    <w:next w:val="1"/>
    <w:link w:val="114"/>
    <w:autoRedefine/>
    <w:semiHidden/>
    <w:unhideWhenUsed/>
    <w:qFormat/>
    <w:uiPriority w:val="0"/>
  </w:style>
  <w:style w:type="paragraph" w:styleId="31">
    <w:name w:val="Body Text 3"/>
    <w:basedOn w:val="1"/>
    <w:link w:val="134"/>
    <w:autoRedefine/>
    <w:semiHidden/>
    <w:unhideWhenUsed/>
    <w:qFormat/>
    <w:uiPriority w:val="0"/>
    <w:pPr>
      <w:spacing w:after="120"/>
    </w:pPr>
    <w:rPr>
      <w:sz w:val="16"/>
      <w:szCs w:val="16"/>
    </w:rPr>
  </w:style>
  <w:style w:type="paragraph" w:styleId="32">
    <w:name w:val="Closing"/>
    <w:basedOn w:val="1"/>
    <w:link w:val="120"/>
    <w:autoRedefine/>
    <w:semiHidden/>
    <w:unhideWhenUsed/>
    <w:qFormat/>
    <w:uiPriority w:val="0"/>
    <w:pPr>
      <w:ind w:left="100" w:leftChars="2100"/>
    </w:pPr>
  </w:style>
  <w:style w:type="paragraph" w:styleId="33">
    <w:name w:val="List Bullet 3"/>
    <w:basedOn w:val="1"/>
    <w:autoRedefine/>
    <w:semiHidden/>
    <w:unhideWhenUsed/>
    <w:qFormat/>
    <w:uiPriority w:val="0"/>
    <w:pPr>
      <w:numPr>
        <w:ilvl w:val="0"/>
        <w:numId w:val="5"/>
      </w:numPr>
      <w:contextualSpacing/>
    </w:pPr>
  </w:style>
  <w:style w:type="paragraph" w:styleId="34">
    <w:name w:val="Body Text"/>
    <w:basedOn w:val="1"/>
    <w:link w:val="132"/>
    <w:autoRedefine/>
    <w:semiHidden/>
    <w:unhideWhenUsed/>
    <w:qFormat/>
    <w:uiPriority w:val="0"/>
    <w:pPr>
      <w:spacing w:after="120"/>
    </w:pPr>
  </w:style>
  <w:style w:type="paragraph" w:styleId="35">
    <w:name w:val="Body Text Indent"/>
    <w:basedOn w:val="1"/>
    <w:link w:val="136"/>
    <w:autoRedefine/>
    <w:semiHidden/>
    <w:unhideWhenUsed/>
    <w:qFormat/>
    <w:uiPriority w:val="0"/>
    <w:pPr>
      <w:spacing w:after="120"/>
      <w:ind w:left="420" w:leftChars="200"/>
    </w:pPr>
  </w:style>
  <w:style w:type="paragraph" w:styleId="36">
    <w:name w:val="List Number 3"/>
    <w:basedOn w:val="1"/>
    <w:autoRedefine/>
    <w:semiHidden/>
    <w:unhideWhenUsed/>
    <w:qFormat/>
    <w:uiPriority w:val="0"/>
    <w:pPr>
      <w:numPr>
        <w:ilvl w:val="0"/>
        <w:numId w:val="6"/>
      </w:numPr>
      <w:contextualSpacing/>
    </w:pPr>
  </w:style>
  <w:style w:type="paragraph" w:styleId="37">
    <w:name w:val="List 2"/>
    <w:basedOn w:val="1"/>
    <w:autoRedefine/>
    <w:semiHidden/>
    <w:unhideWhenUsed/>
    <w:qFormat/>
    <w:uiPriority w:val="0"/>
    <w:pPr>
      <w:ind w:left="100" w:leftChars="200" w:hanging="200" w:hangingChars="200"/>
      <w:contextualSpacing/>
    </w:pPr>
  </w:style>
  <w:style w:type="paragraph" w:styleId="38">
    <w:name w:val="List Continue"/>
    <w:basedOn w:val="1"/>
    <w:autoRedefine/>
    <w:semiHidden/>
    <w:unhideWhenUsed/>
    <w:qFormat/>
    <w:uiPriority w:val="0"/>
    <w:pPr>
      <w:spacing w:after="120"/>
      <w:ind w:left="420" w:leftChars="200"/>
      <w:contextualSpacing/>
    </w:pPr>
  </w:style>
  <w:style w:type="paragraph" w:styleId="39">
    <w:name w:val="Block Text"/>
    <w:basedOn w:val="1"/>
    <w:autoRedefine/>
    <w:semiHidden/>
    <w:unhideWhenUsed/>
    <w:qFormat/>
    <w:uiPriority w:val="0"/>
    <w:pPr>
      <w:spacing w:after="120"/>
      <w:ind w:left="1440" w:leftChars="700" w:right="1440" w:rightChars="700"/>
    </w:pPr>
  </w:style>
  <w:style w:type="paragraph" w:styleId="40">
    <w:name w:val="List Bullet 2"/>
    <w:basedOn w:val="1"/>
    <w:autoRedefine/>
    <w:semiHidden/>
    <w:unhideWhenUsed/>
    <w:qFormat/>
    <w:uiPriority w:val="0"/>
    <w:pPr>
      <w:numPr>
        <w:ilvl w:val="0"/>
        <w:numId w:val="7"/>
      </w:numPr>
      <w:contextualSpacing/>
    </w:pPr>
  </w:style>
  <w:style w:type="paragraph" w:styleId="41">
    <w:name w:val="HTML Address"/>
    <w:basedOn w:val="1"/>
    <w:link w:val="102"/>
    <w:autoRedefine/>
    <w:semiHidden/>
    <w:unhideWhenUsed/>
    <w:qFormat/>
    <w:uiPriority w:val="0"/>
    <w:rPr>
      <w:i/>
      <w:iCs/>
    </w:rPr>
  </w:style>
  <w:style w:type="paragraph" w:styleId="42">
    <w:name w:val="index 4"/>
    <w:basedOn w:val="1"/>
    <w:next w:val="1"/>
    <w:autoRedefine/>
    <w:semiHidden/>
    <w:unhideWhenUsed/>
    <w:qFormat/>
    <w:uiPriority w:val="0"/>
    <w:pPr>
      <w:ind w:left="600" w:leftChars="600"/>
    </w:pPr>
  </w:style>
  <w:style w:type="paragraph" w:styleId="43">
    <w:name w:val="toc 5"/>
    <w:basedOn w:val="1"/>
    <w:next w:val="1"/>
    <w:autoRedefine/>
    <w:semiHidden/>
    <w:unhideWhenUsed/>
    <w:qFormat/>
    <w:uiPriority w:val="0"/>
    <w:pPr>
      <w:ind w:left="1680" w:leftChars="800"/>
    </w:pPr>
  </w:style>
  <w:style w:type="paragraph" w:styleId="44">
    <w:name w:val="toc 3"/>
    <w:basedOn w:val="1"/>
    <w:next w:val="1"/>
    <w:autoRedefine/>
    <w:semiHidden/>
    <w:unhideWhenUsed/>
    <w:qFormat/>
    <w:uiPriority w:val="0"/>
    <w:pPr>
      <w:ind w:left="840" w:leftChars="400"/>
    </w:pPr>
  </w:style>
  <w:style w:type="paragraph" w:styleId="45">
    <w:name w:val="Plain Text"/>
    <w:basedOn w:val="1"/>
    <w:link w:val="115"/>
    <w:autoRedefine/>
    <w:semiHidden/>
    <w:unhideWhenUsed/>
    <w:qFormat/>
    <w:uiPriority w:val="0"/>
    <w:rPr>
      <w:rFonts w:hAnsi="Courier New" w:cs="Courier New" w:asciiTheme="minorEastAsia"/>
    </w:rPr>
  </w:style>
  <w:style w:type="paragraph" w:styleId="46">
    <w:name w:val="List Bullet 5"/>
    <w:basedOn w:val="1"/>
    <w:autoRedefine/>
    <w:semiHidden/>
    <w:unhideWhenUsed/>
    <w:qFormat/>
    <w:uiPriority w:val="0"/>
    <w:pPr>
      <w:numPr>
        <w:ilvl w:val="0"/>
        <w:numId w:val="8"/>
      </w:numPr>
      <w:contextualSpacing/>
    </w:pPr>
  </w:style>
  <w:style w:type="paragraph" w:styleId="47">
    <w:name w:val="List Number 4"/>
    <w:basedOn w:val="1"/>
    <w:autoRedefine/>
    <w:semiHidden/>
    <w:unhideWhenUsed/>
    <w:qFormat/>
    <w:uiPriority w:val="0"/>
    <w:pPr>
      <w:numPr>
        <w:ilvl w:val="0"/>
        <w:numId w:val="9"/>
      </w:numPr>
      <w:contextualSpacing/>
    </w:pPr>
  </w:style>
  <w:style w:type="paragraph" w:styleId="48">
    <w:name w:val="toc 8"/>
    <w:basedOn w:val="1"/>
    <w:next w:val="1"/>
    <w:autoRedefine/>
    <w:semiHidden/>
    <w:unhideWhenUsed/>
    <w:qFormat/>
    <w:uiPriority w:val="0"/>
    <w:pPr>
      <w:ind w:left="2940" w:leftChars="1400"/>
    </w:pPr>
  </w:style>
  <w:style w:type="paragraph" w:styleId="49">
    <w:name w:val="index 3"/>
    <w:basedOn w:val="1"/>
    <w:next w:val="1"/>
    <w:autoRedefine/>
    <w:semiHidden/>
    <w:unhideWhenUsed/>
    <w:qFormat/>
    <w:uiPriority w:val="0"/>
    <w:pPr>
      <w:ind w:left="400" w:leftChars="400"/>
    </w:pPr>
  </w:style>
  <w:style w:type="paragraph" w:styleId="50">
    <w:name w:val="Date"/>
    <w:basedOn w:val="1"/>
    <w:next w:val="1"/>
    <w:link w:val="124"/>
    <w:autoRedefine/>
    <w:semiHidden/>
    <w:unhideWhenUsed/>
    <w:qFormat/>
    <w:uiPriority w:val="0"/>
    <w:pPr>
      <w:ind w:left="100" w:leftChars="2500"/>
    </w:pPr>
  </w:style>
  <w:style w:type="paragraph" w:styleId="51">
    <w:name w:val="Body Text Indent 2"/>
    <w:basedOn w:val="1"/>
    <w:link w:val="138"/>
    <w:autoRedefine/>
    <w:semiHidden/>
    <w:unhideWhenUsed/>
    <w:qFormat/>
    <w:uiPriority w:val="0"/>
    <w:pPr>
      <w:spacing w:after="120" w:line="480" w:lineRule="auto"/>
      <w:ind w:left="420" w:leftChars="200"/>
    </w:pPr>
  </w:style>
  <w:style w:type="paragraph" w:styleId="52">
    <w:name w:val="endnote text"/>
    <w:basedOn w:val="1"/>
    <w:link w:val="126"/>
    <w:autoRedefine/>
    <w:semiHidden/>
    <w:unhideWhenUsed/>
    <w:qFormat/>
    <w:uiPriority w:val="0"/>
    <w:pPr>
      <w:snapToGrid w:val="0"/>
      <w:jc w:val="left"/>
    </w:pPr>
  </w:style>
  <w:style w:type="paragraph" w:styleId="53">
    <w:name w:val="List Continue 5"/>
    <w:basedOn w:val="1"/>
    <w:autoRedefine/>
    <w:qFormat/>
    <w:uiPriority w:val="0"/>
    <w:pPr>
      <w:spacing w:after="120"/>
      <w:ind w:left="2100" w:leftChars="1000"/>
      <w:contextualSpacing/>
    </w:pPr>
  </w:style>
  <w:style w:type="paragraph" w:styleId="54">
    <w:name w:val="Balloon Text"/>
    <w:basedOn w:val="1"/>
    <w:link w:val="96"/>
    <w:autoRedefine/>
    <w:qFormat/>
    <w:uiPriority w:val="0"/>
    <w:rPr>
      <w:sz w:val="18"/>
      <w:szCs w:val="18"/>
    </w:rPr>
  </w:style>
  <w:style w:type="paragraph" w:styleId="55">
    <w:name w:val="footer"/>
    <w:basedOn w:val="1"/>
    <w:link w:val="94"/>
    <w:autoRedefine/>
    <w:qFormat/>
    <w:uiPriority w:val="99"/>
    <w:pPr>
      <w:tabs>
        <w:tab w:val="center" w:pos="4153"/>
        <w:tab w:val="right" w:pos="8306"/>
      </w:tabs>
      <w:snapToGrid w:val="0"/>
      <w:jc w:val="left"/>
    </w:pPr>
    <w:rPr>
      <w:sz w:val="18"/>
      <w:szCs w:val="18"/>
    </w:rPr>
  </w:style>
  <w:style w:type="paragraph" w:styleId="56">
    <w:name w:val="envelope return"/>
    <w:basedOn w:val="1"/>
    <w:autoRedefine/>
    <w:semiHidden/>
    <w:unhideWhenUsed/>
    <w:qFormat/>
    <w:uiPriority w:val="0"/>
    <w:pPr>
      <w:snapToGrid w:val="0"/>
    </w:pPr>
    <w:rPr>
      <w:rFonts w:asciiTheme="majorHAnsi" w:hAnsiTheme="majorHAnsi" w:eastAsiaTheme="majorEastAsia" w:cstheme="majorBidi"/>
    </w:rPr>
  </w:style>
  <w:style w:type="paragraph" w:styleId="57">
    <w:name w:val="header"/>
    <w:basedOn w:val="1"/>
    <w:link w:val="93"/>
    <w:autoRedefine/>
    <w:qFormat/>
    <w:uiPriority w:val="0"/>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3"/>
    <w:autoRedefine/>
    <w:semiHidden/>
    <w:unhideWhenUsed/>
    <w:qFormat/>
    <w:uiPriority w:val="0"/>
    <w:pPr>
      <w:ind w:left="100" w:leftChars="2100"/>
    </w:pPr>
  </w:style>
  <w:style w:type="paragraph" w:styleId="59">
    <w:name w:val="toc 1"/>
    <w:basedOn w:val="1"/>
    <w:next w:val="1"/>
    <w:autoRedefine/>
    <w:semiHidden/>
    <w:unhideWhenUsed/>
    <w:qFormat/>
    <w:uiPriority w:val="0"/>
  </w:style>
  <w:style w:type="paragraph" w:styleId="60">
    <w:name w:val="List Continue 4"/>
    <w:basedOn w:val="1"/>
    <w:autoRedefine/>
    <w:qFormat/>
    <w:uiPriority w:val="0"/>
    <w:pPr>
      <w:spacing w:after="120"/>
      <w:ind w:left="1680" w:leftChars="800"/>
      <w:contextualSpacing/>
    </w:pPr>
  </w:style>
  <w:style w:type="paragraph" w:styleId="61">
    <w:name w:val="toc 4"/>
    <w:basedOn w:val="1"/>
    <w:next w:val="1"/>
    <w:autoRedefine/>
    <w:semiHidden/>
    <w:unhideWhenUsed/>
    <w:qFormat/>
    <w:uiPriority w:val="0"/>
    <w:pPr>
      <w:ind w:left="1260" w:leftChars="600"/>
    </w:pPr>
  </w:style>
  <w:style w:type="paragraph" w:styleId="62">
    <w:name w:val="index heading"/>
    <w:basedOn w:val="1"/>
    <w:next w:val="63"/>
    <w:autoRedefine/>
    <w:semiHidden/>
    <w:unhideWhenUsed/>
    <w:qFormat/>
    <w:uiPriority w:val="0"/>
    <w:rPr>
      <w:rFonts w:asciiTheme="majorHAnsi" w:hAnsiTheme="majorHAnsi" w:eastAsiaTheme="majorEastAsia" w:cstheme="majorBidi"/>
      <w:b/>
      <w:bCs/>
    </w:rPr>
  </w:style>
  <w:style w:type="paragraph" w:styleId="63">
    <w:name w:val="index 1"/>
    <w:basedOn w:val="1"/>
    <w:next w:val="1"/>
    <w:autoRedefine/>
    <w:semiHidden/>
    <w:unhideWhenUsed/>
    <w:qFormat/>
    <w:uiPriority w:val="0"/>
  </w:style>
  <w:style w:type="paragraph" w:styleId="64">
    <w:name w:val="Subtitle"/>
    <w:basedOn w:val="1"/>
    <w:next w:val="1"/>
    <w:link w:val="117"/>
    <w:autoRedefine/>
    <w:qFormat/>
    <w:uiPriority w:val="0"/>
    <w:pPr>
      <w:spacing w:before="240" w:after="60" w:line="312" w:lineRule="auto"/>
      <w:jc w:val="center"/>
      <w:outlineLvl w:val="1"/>
    </w:pPr>
    <w:rPr>
      <w:b/>
      <w:bCs/>
      <w:kern w:val="28"/>
      <w:sz w:val="32"/>
      <w:szCs w:val="32"/>
    </w:rPr>
  </w:style>
  <w:style w:type="paragraph" w:styleId="65">
    <w:name w:val="List Number 5"/>
    <w:basedOn w:val="1"/>
    <w:autoRedefine/>
    <w:semiHidden/>
    <w:unhideWhenUsed/>
    <w:qFormat/>
    <w:uiPriority w:val="0"/>
    <w:pPr>
      <w:numPr>
        <w:ilvl w:val="0"/>
        <w:numId w:val="10"/>
      </w:numPr>
      <w:contextualSpacing/>
    </w:pPr>
  </w:style>
  <w:style w:type="paragraph" w:styleId="66">
    <w:name w:val="List"/>
    <w:basedOn w:val="1"/>
    <w:autoRedefine/>
    <w:qFormat/>
    <w:uiPriority w:val="0"/>
    <w:pPr>
      <w:ind w:left="200" w:hanging="200" w:hangingChars="200"/>
      <w:contextualSpacing/>
    </w:pPr>
  </w:style>
  <w:style w:type="paragraph" w:styleId="67">
    <w:name w:val="footnote text"/>
    <w:basedOn w:val="1"/>
    <w:link w:val="119"/>
    <w:autoRedefine/>
    <w:semiHidden/>
    <w:unhideWhenUsed/>
    <w:qFormat/>
    <w:uiPriority w:val="0"/>
    <w:pPr>
      <w:snapToGrid w:val="0"/>
      <w:jc w:val="left"/>
    </w:pPr>
    <w:rPr>
      <w:sz w:val="18"/>
      <w:szCs w:val="18"/>
    </w:rPr>
  </w:style>
  <w:style w:type="paragraph" w:styleId="68">
    <w:name w:val="toc 6"/>
    <w:basedOn w:val="1"/>
    <w:next w:val="1"/>
    <w:autoRedefine/>
    <w:semiHidden/>
    <w:unhideWhenUsed/>
    <w:qFormat/>
    <w:uiPriority w:val="0"/>
    <w:pPr>
      <w:ind w:left="2100" w:leftChars="1000"/>
    </w:pPr>
  </w:style>
  <w:style w:type="paragraph" w:styleId="69">
    <w:name w:val="List 5"/>
    <w:basedOn w:val="1"/>
    <w:autoRedefine/>
    <w:semiHidden/>
    <w:unhideWhenUsed/>
    <w:qFormat/>
    <w:uiPriority w:val="0"/>
    <w:pPr>
      <w:ind w:left="100" w:leftChars="800" w:hanging="200" w:hangingChars="200"/>
      <w:contextualSpacing/>
    </w:pPr>
  </w:style>
  <w:style w:type="paragraph" w:styleId="70">
    <w:name w:val="Body Text Indent 3"/>
    <w:basedOn w:val="1"/>
    <w:link w:val="139"/>
    <w:autoRedefine/>
    <w:semiHidden/>
    <w:unhideWhenUsed/>
    <w:qFormat/>
    <w:uiPriority w:val="0"/>
    <w:pPr>
      <w:spacing w:after="120"/>
      <w:ind w:left="420" w:leftChars="200"/>
    </w:pPr>
    <w:rPr>
      <w:sz w:val="16"/>
      <w:szCs w:val="16"/>
    </w:rPr>
  </w:style>
  <w:style w:type="paragraph" w:styleId="71">
    <w:name w:val="index 7"/>
    <w:basedOn w:val="1"/>
    <w:next w:val="1"/>
    <w:autoRedefine/>
    <w:semiHidden/>
    <w:unhideWhenUsed/>
    <w:qFormat/>
    <w:uiPriority w:val="0"/>
    <w:pPr>
      <w:ind w:left="1200" w:leftChars="1200"/>
    </w:pPr>
  </w:style>
  <w:style w:type="paragraph" w:styleId="72">
    <w:name w:val="index 9"/>
    <w:basedOn w:val="1"/>
    <w:next w:val="1"/>
    <w:autoRedefine/>
    <w:semiHidden/>
    <w:unhideWhenUsed/>
    <w:qFormat/>
    <w:uiPriority w:val="0"/>
    <w:pPr>
      <w:ind w:left="1600" w:leftChars="1600"/>
    </w:pPr>
  </w:style>
  <w:style w:type="paragraph" w:styleId="73">
    <w:name w:val="table of figures"/>
    <w:basedOn w:val="1"/>
    <w:next w:val="1"/>
    <w:autoRedefine/>
    <w:semiHidden/>
    <w:unhideWhenUsed/>
    <w:qFormat/>
    <w:uiPriority w:val="0"/>
    <w:pPr>
      <w:ind w:left="200" w:leftChars="200" w:hanging="200" w:hangingChars="200"/>
    </w:pPr>
  </w:style>
  <w:style w:type="paragraph" w:styleId="74">
    <w:name w:val="toc 2"/>
    <w:basedOn w:val="1"/>
    <w:next w:val="1"/>
    <w:autoRedefine/>
    <w:semiHidden/>
    <w:unhideWhenUsed/>
    <w:qFormat/>
    <w:uiPriority w:val="0"/>
    <w:pPr>
      <w:ind w:left="420" w:leftChars="200"/>
    </w:pPr>
  </w:style>
  <w:style w:type="paragraph" w:styleId="75">
    <w:name w:val="toc 9"/>
    <w:basedOn w:val="1"/>
    <w:next w:val="1"/>
    <w:autoRedefine/>
    <w:semiHidden/>
    <w:unhideWhenUsed/>
    <w:qFormat/>
    <w:uiPriority w:val="0"/>
    <w:pPr>
      <w:ind w:left="3360" w:leftChars="1600"/>
    </w:pPr>
  </w:style>
  <w:style w:type="paragraph" w:styleId="76">
    <w:name w:val="Body Text 2"/>
    <w:basedOn w:val="1"/>
    <w:link w:val="133"/>
    <w:autoRedefine/>
    <w:semiHidden/>
    <w:unhideWhenUsed/>
    <w:qFormat/>
    <w:uiPriority w:val="0"/>
    <w:pPr>
      <w:spacing w:after="120" w:line="480" w:lineRule="auto"/>
    </w:pPr>
  </w:style>
  <w:style w:type="paragraph" w:styleId="77">
    <w:name w:val="List 4"/>
    <w:basedOn w:val="1"/>
    <w:autoRedefine/>
    <w:semiHidden/>
    <w:unhideWhenUsed/>
    <w:qFormat/>
    <w:uiPriority w:val="0"/>
    <w:pPr>
      <w:ind w:left="100" w:leftChars="600" w:hanging="200" w:hangingChars="200"/>
      <w:contextualSpacing/>
    </w:pPr>
  </w:style>
  <w:style w:type="paragraph" w:styleId="78">
    <w:name w:val="List Continue 2"/>
    <w:basedOn w:val="1"/>
    <w:autoRedefine/>
    <w:qFormat/>
    <w:uiPriority w:val="0"/>
    <w:pPr>
      <w:spacing w:after="120"/>
      <w:ind w:left="840" w:leftChars="400"/>
      <w:contextualSpacing/>
    </w:pPr>
  </w:style>
  <w:style w:type="paragraph" w:styleId="79">
    <w:name w:val="Message Header"/>
    <w:basedOn w:val="1"/>
    <w:link w:val="129"/>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03"/>
    <w:autoRedefine/>
    <w:semiHidden/>
    <w:unhideWhenUsed/>
    <w:qFormat/>
    <w:uiPriority w:val="0"/>
    <w:rPr>
      <w:rFonts w:ascii="Courier New" w:hAnsi="Courier New" w:cs="Courier New"/>
      <w:sz w:val="20"/>
      <w:szCs w:val="20"/>
    </w:rPr>
  </w:style>
  <w:style w:type="paragraph" w:styleId="81">
    <w:name w:val="Normal (Web)"/>
    <w:basedOn w:val="1"/>
    <w:autoRedefine/>
    <w:semiHidden/>
    <w:unhideWhenUsed/>
    <w:qFormat/>
    <w:uiPriority w:val="0"/>
    <w:rPr>
      <w:rFonts w:ascii="Times New Roman" w:hAnsi="Times New Roman" w:cs="Times New Roman"/>
      <w:sz w:val="24"/>
      <w:szCs w:val="24"/>
    </w:rPr>
  </w:style>
  <w:style w:type="paragraph" w:styleId="82">
    <w:name w:val="List Continue 3"/>
    <w:basedOn w:val="1"/>
    <w:autoRedefine/>
    <w:qFormat/>
    <w:uiPriority w:val="0"/>
    <w:pPr>
      <w:spacing w:after="120"/>
      <w:ind w:left="1260" w:leftChars="600"/>
      <w:contextualSpacing/>
    </w:pPr>
  </w:style>
  <w:style w:type="paragraph" w:styleId="83">
    <w:name w:val="index 2"/>
    <w:basedOn w:val="1"/>
    <w:next w:val="1"/>
    <w:autoRedefine/>
    <w:semiHidden/>
    <w:unhideWhenUsed/>
    <w:qFormat/>
    <w:uiPriority w:val="0"/>
    <w:pPr>
      <w:ind w:left="200" w:leftChars="200"/>
    </w:pPr>
  </w:style>
  <w:style w:type="paragraph" w:styleId="84">
    <w:name w:val="Title"/>
    <w:basedOn w:val="1"/>
    <w:next w:val="1"/>
    <w:autoRedefine/>
    <w:qFormat/>
    <w:uiPriority w:val="10"/>
    <w:pPr>
      <w:spacing w:before="240" w:after="60"/>
      <w:jc w:val="center"/>
      <w:outlineLvl w:val="0"/>
    </w:pPr>
    <w:rPr>
      <w:rFonts w:eastAsia="宋体" w:asciiTheme="majorHAnsi" w:hAnsiTheme="majorHAnsi" w:cstheme="majorBidi"/>
      <w:b/>
      <w:bCs/>
      <w:sz w:val="30"/>
      <w:szCs w:val="32"/>
    </w:rPr>
  </w:style>
  <w:style w:type="paragraph" w:styleId="85">
    <w:name w:val="annotation subject"/>
    <w:basedOn w:val="28"/>
    <w:next w:val="28"/>
    <w:link w:val="98"/>
    <w:autoRedefine/>
    <w:qFormat/>
    <w:uiPriority w:val="0"/>
    <w:rPr>
      <w:b/>
      <w:bCs/>
    </w:rPr>
  </w:style>
  <w:style w:type="paragraph" w:styleId="86">
    <w:name w:val="Body Text First Indent"/>
    <w:basedOn w:val="34"/>
    <w:link w:val="135"/>
    <w:autoRedefine/>
    <w:semiHidden/>
    <w:unhideWhenUsed/>
    <w:qFormat/>
    <w:uiPriority w:val="0"/>
    <w:pPr>
      <w:ind w:firstLine="420" w:firstLineChars="100"/>
    </w:pPr>
  </w:style>
  <w:style w:type="paragraph" w:styleId="87">
    <w:name w:val="Body Text First Indent 2"/>
    <w:basedOn w:val="35"/>
    <w:link w:val="137"/>
    <w:autoRedefine/>
    <w:semiHidden/>
    <w:unhideWhenUsed/>
    <w:qFormat/>
    <w:uiPriority w:val="0"/>
    <w:pPr>
      <w:ind w:firstLine="420" w:firstLineChars="200"/>
    </w:pPr>
  </w:style>
  <w:style w:type="character" w:styleId="90">
    <w:name w:val="Hyperlink"/>
    <w:basedOn w:val="89"/>
    <w:autoRedefine/>
    <w:unhideWhenUsed/>
    <w:qFormat/>
    <w:uiPriority w:val="0"/>
    <w:rPr>
      <w:color w:val="0563C1" w:themeColor="hyperlink"/>
      <w:u w:val="single"/>
      <w14:textFill>
        <w14:solidFill>
          <w14:schemeClr w14:val="hlink"/>
        </w14:solidFill>
      </w14:textFill>
    </w:rPr>
  </w:style>
  <w:style w:type="character" w:styleId="91">
    <w:name w:val="annotation reference"/>
    <w:basedOn w:val="89"/>
    <w:autoRedefine/>
    <w:qFormat/>
    <w:uiPriority w:val="0"/>
    <w:rPr>
      <w:sz w:val="21"/>
      <w:szCs w:val="21"/>
    </w:rPr>
  </w:style>
  <w:style w:type="paragraph" w:customStyle="1" w:styleId="9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3">
    <w:name w:val="页眉 字符"/>
    <w:basedOn w:val="89"/>
    <w:link w:val="57"/>
    <w:autoRedefine/>
    <w:qFormat/>
    <w:uiPriority w:val="0"/>
    <w:rPr>
      <w:kern w:val="2"/>
      <w:sz w:val="18"/>
      <w:szCs w:val="18"/>
    </w:rPr>
  </w:style>
  <w:style w:type="character" w:customStyle="1" w:styleId="94">
    <w:name w:val="页脚 字符"/>
    <w:basedOn w:val="89"/>
    <w:link w:val="55"/>
    <w:autoRedefine/>
    <w:qFormat/>
    <w:uiPriority w:val="99"/>
    <w:rPr>
      <w:kern w:val="2"/>
      <w:sz w:val="18"/>
      <w:szCs w:val="18"/>
    </w:rPr>
  </w:style>
  <w:style w:type="paragraph" w:styleId="95">
    <w:name w:val="List Paragraph"/>
    <w:basedOn w:val="1"/>
    <w:autoRedefine/>
    <w:qFormat/>
    <w:uiPriority w:val="34"/>
    <w:pPr>
      <w:ind w:firstLine="420" w:firstLineChars="200"/>
    </w:pPr>
    <w:rPr>
      <w:rFonts w:ascii="Calibri" w:hAnsi="Calibri" w:eastAsia="宋体" w:cs="Times New Roman"/>
    </w:rPr>
  </w:style>
  <w:style w:type="character" w:customStyle="1" w:styleId="96">
    <w:name w:val="批注框文本 字符"/>
    <w:basedOn w:val="89"/>
    <w:link w:val="54"/>
    <w:autoRedefine/>
    <w:qFormat/>
    <w:uiPriority w:val="0"/>
    <w:rPr>
      <w:kern w:val="2"/>
      <w:sz w:val="18"/>
      <w:szCs w:val="18"/>
    </w:rPr>
  </w:style>
  <w:style w:type="character" w:customStyle="1" w:styleId="97">
    <w:name w:val="批注文字 字符"/>
    <w:basedOn w:val="89"/>
    <w:link w:val="28"/>
    <w:autoRedefine/>
    <w:qFormat/>
    <w:uiPriority w:val="0"/>
    <w:rPr>
      <w:kern w:val="2"/>
      <w:sz w:val="21"/>
      <w:szCs w:val="22"/>
    </w:rPr>
  </w:style>
  <w:style w:type="character" w:customStyle="1" w:styleId="98">
    <w:name w:val="批注主题 字符"/>
    <w:basedOn w:val="97"/>
    <w:link w:val="85"/>
    <w:autoRedefine/>
    <w:qFormat/>
    <w:uiPriority w:val="0"/>
    <w:rPr>
      <w:b/>
      <w:bCs/>
      <w:kern w:val="2"/>
      <w:sz w:val="21"/>
      <w:szCs w:val="22"/>
    </w:rPr>
  </w:style>
  <w:style w:type="paragraph" w:customStyle="1" w:styleId="99">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0">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1">
    <w:name w:val="修订3"/>
    <w:autoRedefine/>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02">
    <w:name w:val="HTML 地址 字符"/>
    <w:basedOn w:val="89"/>
    <w:link w:val="41"/>
    <w:autoRedefine/>
    <w:semiHidden/>
    <w:qFormat/>
    <w:uiPriority w:val="0"/>
    <w:rPr>
      <w:rFonts w:asciiTheme="minorHAnsi" w:hAnsiTheme="minorHAnsi" w:eastAsiaTheme="minorEastAsia" w:cstheme="minorBidi"/>
      <w:i/>
      <w:iCs/>
      <w:kern w:val="2"/>
      <w:sz w:val="21"/>
      <w:szCs w:val="22"/>
    </w:rPr>
  </w:style>
  <w:style w:type="character" w:customStyle="1" w:styleId="103">
    <w:name w:val="HTML 预设格式 字符"/>
    <w:basedOn w:val="89"/>
    <w:link w:val="80"/>
    <w:autoRedefine/>
    <w:semiHidden/>
    <w:qFormat/>
    <w:uiPriority w:val="0"/>
    <w:rPr>
      <w:rFonts w:ascii="Courier New" w:hAnsi="Courier New" w:cs="Courier New" w:eastAsiaTheme="minorEastAsia"/>
      <w:kern w:val="2"/>
    </w:rPr>
  </w:style>
  <w:style w:type="character" w:customStyle="1" w:styleId="104">
    <w:name w:val="标题 1 字符"/>
    <w:basedOn w:val="89"/>
    <w:link w:val="3"/>
    <w:autoRedefine/>
    <w:qFormat/>
    <w:uiPriority w:val="0"/>
    <w:rPr>
      <w:rFonts w:asciiTheme="minorHAnsi" w:hAnsiTheme="minorHAnsi" w:eastAsiaTheme="minorEastAsia" w:cstheme="minorBidi"/>
      <w:b/>
      <w:bCs/>
      <w:kern w:val="44"/>
      <w:sz w:val="44"/>
      <w:szCs w:val="44"/>
    </w:rPr>
  </w:style>
  <w:style w:type="paragraph" w:customStyle="1" w:styleId="105">
    <w:name w:val="TOC 标题1"/>
    <w:basedOn w:val="3"/>
    <w:next w:val="1"/>
    <w:autoRedefine/>
    <w:semiHidden/>
    <w:unhideWhenUsed/>
    <w:qFormat/>
    <w:uiPriority w:val="39"/>
    <w:pPr>
      <w:outlineLvl w:val="9"/>
    </w:pPr>
  </w:style>
  <w:style w:type="character" w:customStyle="1" w:styleId="106">
    <w:name w:val="标题 2 字符"/>
    <w:basedOn w:val="89"/>
    <w:link w:val="4"/>
    <w:autoRedefine/>
    <w:semiHidden/>
    <w:qFormat/>
    <w:uiPriority w:val="0"/>
    <w:rPr>
      <w:rFonts w:asciiTheme="majorHAnsi" w:hAnsiTheme="majorHAnsi" w:eastAsiaTheme="majorEastAsia" w:cstheme="majorBidi"/>
      <w:b/>
      <w:bCs/>
      <w:kern w:val="2"/>
      <w:sz w:val="32"/>
      <w:szCs w:val="32"/>
    </w:rPr>
  </w:style>
  <w:style w:type="character" w:customStyle="1" w:styleId="107">
    <w:name w:val="标题 3 字符"/>
    <w:basedOn w:val="89"/>
    <w:link w:val="5"/>
    <w:autoRedefine/>
    <w:semiHidden/>
    <w:qFormat/>
    <w:uiPriority w:val="0"/>
    <w:rPr>
      <w:rFonts w:asciiTheme="minorHAnsi" w:hAnsiTheme="minorHAnsi" w:eastAsiaTheme="minorEastAsia" w:cstheme="minorBidi"/>
      <w:b/>
      <w:bCs/>
      <w:kern w:val="2"/>
      <w:sz w:val="32"/>
      <w:szCs w:val="32"/>
    </w:rPr>
  </w:style>
  <w:style w:type="character" w:customStyle="1" w:styleId="108">
    <w:name w:val="标题 4 字符"/>
    <w:basedOn w:val="89"/>
    <w:link w:val="6"/>
    <w:autoRedefine/>
    <w:semiHidden/>
    <w:qFormat/>
    <w:uiPriority w:val="0"/>
    <w:rPr>
      <w:rFonts w:asciiTheme="majorHAnsi" w:hAnsiTheme="majorHAnsi" w:eastAsiaTheme="majorEastAsia" w:cstheme="majorBidi"/>
      <w:b/>
      <w:bCs/>
      <w:kern w:val="2"/>
      <w:sz w:val="28"/>
      <w:szCs w:val="28"/>
    </w:rPr>
  </w:style>
  <w:style w:type="character" w:customStyle="1" w:styleId="109">
    <w:name w:val="标题 5 字符"/>
    <w:basedOn w:val="89"/>
    <w:link w:val="7"/>
    <w:autoRedefine/>
    <w:semiHidden/>
    <w:qFormat/>
    <w:uiPriority w:val="0"/>
    <w:rPr>
      <w:rFonts w:asciiTheme="minorHAnsi" w:hAnsiTheme="minorHAnsi" w:eastAsiaTheme="minorEastAsia" w:cstheme="minorBidi"/>
      <w:b/>
      <w:bCs/>
      <w:kern w:val="2"/>
      <w:sz w:val="28"/>
      <w:szCs w:val="28"/>
    </w:rPr>
  </w:style>
  <w:style w:type="character" w:customStyle="1" w:styleId="110">
    <w:name w:val="标题 6 字符"/>
    <w:basedOn w:val="89"/>
    <w:link w:val="8"/>
    <w:autoRedefine/>
    <w:semiHidden/>
    <w:qFormat/>
    <w:uiPriority w:val="0"/>
    <w:rPr>
      <w:rFonts w:asciiTheme="majorHAnsi" w:hAnsiTheme="majorHAnsi" w:eastAsiaTheme="majorEastAsia" w:cstheme="majorBidi"/>
      <w:b/>
      <w:bCs/>
      <w:kern w:val="2"/>
      <w:sz w:val="24"/>
      <w:szCs w:val="24"/>
    </w:rPr>
  </w:style>
  <w:style w:type="character" w:customStyle="1" w:styleId="111">
    <w:name w:val="标题 7 字符"/>
    <w:basedOn w:val="89"/>
    <w:link w:val="9"/>
    <w:autoRedefine/>
    <w:semiHidden/>
    <w:qFormat/>
    <w:uiPriority w:val="0"/>
    <w:rPr>
      <w:rFonts w:asciiTheme="minorHAnsi" w:hAnsiTheme="minorHAnsi" w:eastAsiaTheme="minorEastAsia" w:cstheme="minorBidi"/>
      <w:b/>
      <w:bCs/>
      <w:kern w:val="2"/>
      <w:sz w:val="24"/>
      <w:szCs w:val="24"/>
    </w:rPr>
  </w:style>
  <w:style w:type="character" w:customStyle="1" w:styleId="112">
    <w:name w:val="标题 8 字符"/>
    <w:basedOn w:val="89"/>
    <w:link w:val="10"/>
    <w:autoRedefine/>
    <w:semiHidden/>
    <w:qFormat/>
    <w:uiPriority w:val="0"/>
    <w:rPr>
      <w:rFonts w:asciiTheme="majorHAnsi" w:hAnsiTheme="majorHAnsi" w:eastAsiaTheme="majorEastAsia" w:cstheme="majorBidi"/>
      <w:kern w:val="2"/>
      <w:sz w:val="24"/>
      <w:szCs w:val="24"/>
    </w:rPr>
  </w:style>
  <w:style w:type="character" w:customStyle="1" w:styleId="113">
    <w:name w:val="标题 9 字符"/>
    <w:basedOn w:val="89"/>
    <w:link w:val="11"/>
    <w:autoRedefine/>
    <w:semiHidden/>
    <w:qFormat/>
    <w:uiPriority w:val="0"/>
    <w:rPr>
      <w:rFonts w:asciiTheme="majorHAnsi" w:hAnsiTheme="majorHAnsi" w:eastAsiaTheme="majorEastAsia" w:cstheme="majorBidi"/>
      <w:kern w:val="2"/>
      <w:sz w:val="21"/>
      <w:szCs w:val="21"/>
    </w:rPr>
  </w:style>
  <w:style w:type="character" w:customStyle="1" w:styleId="114">
    <w:name w:val="称呼 字符"/>
    <w:basedOn w:val="89"/>
    <w:link w:val="30"/>
    <w:autoRedefine/>
    <w:semiHidden/>
    <w:qFormat/>
    <w:uiPriority w:val="0"/>
    <w:rPr>
      <w:rFonts w:asciiTheme="minorHAnsi" w:hAnsiTheme="minorHAnsi" w:eastAsiaTheme="minorEastAsia" w:cstheme="minorBidi"/>
      <w:kern w:val="2"/>
      <w:sz w:val="21"/>
      <w:szCs w:val="22"/>
    </w:rPr>
  </w:style>
  <w:style w:type="character" w:customStyle="1" w:styleId="115">
    <w:name w:val="纯文本 字符"/>
    <w:basedOn w:val="89"/>
    <w:link w:val="45"/>
    <w:autoRedefine/>
    <w:semiHidden/>
    <w:qFormat/>
    <w:uiPriority w:val="0"/>
    <w:rPr>
      <w:rFonts w:hAnsi="Courier New" w:cs="Courier New" w:asciiTheme="minorEastAsia" w:eastAsiaTheme="minorEastAsia"/>
      <w:kern w:val="2"/>
      <w:sz w:val="21"/>
      <w:szCs w:val="22"/>
    </w:rPr>
  </w:style>
  <w:style w:type="character" w:customStyle="1" w:styleId="116">
    <w:name w:val="电子邮件签名 字符"/>
    <w:basedOn w:val="89"/>
    <w:link w:val="19"/>
    <w:autoRedefine/>
    <w:semiHidden/>
    <w:qFormat/>
    <w:uiPriority w:val="0"/>
    <w:rPr>
      <w:rFonts w:asciiTheme="minorHAnsi" w:hAnsiTheme="minorHAnsi" w:eastAsiaTheme="minorEastAsia" w:cstheme="minorBidi"/>
      <w:kern w:val="2"/>
      <w:sz w:val="21"/>
      <w:szCs w:val="22"/>
    </w:rPr>
  </w:style>
  <w:style w:type="character" w:customStyle="1" w:styleId="117">
    <w:name w:val="副标题 字符"/>
    <w:basedOn w:val="89"/>
    <w:link w:val="64"/>
    <w:autoRedefine/>
    <w:qFormat/>
    <w:uiPriority w:val="0"/>
    <w:rPr>
      <w:rFonts w:asciiTheme="minorHAnsi" w:hAnsiTheme="minorHAnsi" w:eastAsiaTheme="minorEastAsia" w:cstheme="minorBidi"/>
      <w:b/>
      <w:bCs/>
      <w:kern w:val="28"/>
      <w:sz w:val="32"/>
      <w:szCs w:val="32"/>
    </w:rPr>
  </w:style>
  <w:style w:type="character" w:customStyle="1" w:styleId="118">
    <w:name w:val="宏文本 字符"/>
    <w:basedOn w:val="89"/>
    <w:link w:val="2"/>
    <w:autoRedefine/>
    <w:semiHidden/>
    <w:qFormat/>
    <w:uiPriority w:val="0"/>
    <w:rPr>
      <w:rFonts w:ascii="Courier New" w:hAnsi="Courier New" w:cs="Courier New"/>
      <w:kern w:val="2"/>
      <w:sz w:val="24"/>
      <w:szCs w:val="24"/>
    </w:rPr>
  </w:style>
  <w:style w:type="character" w:customStyle="1" w:styleId="119">
    <w:name w:val="脚注文本 字符"/>
    <w:basedOn w:val="89"/>
    <w:link w:val="67"/>
    <w:autoRedefine/>
    <w:semiHidden/>
    <w:qFormat/>
    <w:uiPriority w:val="0"/>
    <w:rPr>
      <w:rFonts w:asciiTheme="minorHAnsi" w:hAnsiTheme="minorHAnsi" w:eastAsiaTheme="minorEastAsia" w:cstheme="minorBidi"/>
      <w:kern w:val="2"/>
      <w:sz w:val="18"/>
      <w:szCs w:val="18"/>
    </w:rPr>
  </w:style>
  <w:style w:type="character" w:customStyle="1" w:styleId="120">
    <w:name w:val="结束语 字符"/>
    <w:basedOn w:val="89"/>
    <w:link w:val="32"/>
    <w:autoRedefine/>
    <w:semiHidden/>
    <w:qFormat/>
    <w:uiPriority w:val="0"/>
    <w:rPr>
      <w:rFonts w:asciiTheme="minorHAnsi" w:hAnsiTheme="minorHAnsi" w:eastAsiaTheme="minorEastAsia" w:cstheme="minorBidi"/>
      <w:kern w:val="2"/>
      <w:sz w:val="21"/>
      <w:szCs w:val="22"/>
    </w:rPr>
  </w:style>
  <w:style w:type="paragraph" w:styleId="121">
    <w:name w:val="Intense Quote"/>
    <w:basedOn w:val="1"/>
    <w:next w:val="1"/>
    <w:link w:val="122"/>
    <w:autoRedefine/>
    <w:semiHidden/>
    <w:unhideWhenUsed/>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122">
    <w:name w:val="明显引用 字符"/>
    <w:basedOn w:val="89"/>
    <w:link w:val="121"/>
    <w:autoRedefine/>
    <w:semiHidden/>
    <w:qFormat/>
    <w:uiPriority w:val="99"/>
    <w:rPr>
      <w:rFonts w:asciiTheme="minorHAnsi" w:hAnsiTheme="minorHAnsi" w:eastAsiaTheme="minorEastAsia" w:cstheme="minorBidi"/>
      <w:i/>
      <w:iCs/>
      <w:color w:val="5B9BD5" w:themeColor="accent1"/>
      <w:kern w:val="2"/>
      <w:sz w:val="21"/>
      <w:szCs w:val="22"/>
      <w14:textFill>
        <w14:solidFill>
          <w14:schemeClr w14:val="accent1"/>
        </w14:solidFill>
      </w14:textFill>
    </w:rPr>
  </w:style>
  <w:style w:type="character" w:customStyle="1" w:styleId="123">
    <w:name w:val="签名 字符"/>
    <w:basedOn w:val="89"/>
    <w:link w:val="58"/>
    <w:autoRedefine/>
    <w:semiHidden/>
    <w:qFormat/>
    <w:uiPriority w:val="0"/>
    <w:rPr>
      <w:rFonts w:asciiTheme="minorHAnsi" w:hAnsiTheme="minorHAnsi" w:eastAsiaTheme="minorEastAsia" w:cstheme="minorBidi"/>
      <w:kern w:val="2"/>
      <w:sz w:val="21"/>
      <w:szCs w:val="22"/>
    </w:rPr>
  </w:style>
  <w:style w:type="character" w:customStyle="1" w:styleId="124">
    <w:name w:val="日期 字符"/>
    <w:basedOn w:val="89"/>
    <w:link w:val="50"/>
    <w:autoRedefine/>
    <w:semiHidden/>
    <w:qFormat/>
    <w:uiPriority w:val="0"/>
    <w:rPr>
      <w:rFonts w:asciiTheme="minorHAnsi" w:hAnsiTheme="minorHAnsi" w:eastAsiaTheme="minorEastAsia" w:cstheme="minorBidi"/>
      <w:kern w:val="2"/>
      <w:sz w:val="21"/>
      <w:szCs w:val="22"/>
    </w:rPr>
  </w:style>
  <w:style w:type="paragraph" w:customStyle="1" w:styleId="125">
    <w:name w:val="书目1"/>
    <w:basedOn w:val="1"/>
    <w:next w:val="1"/>
    <w:autoRedefine/>
    <w:semiHidden/>
    <w:unhideWhenUsed/>
    <w:qFormat/>
    <w:uiPriority w:val="37"/>
  </w:style>
  <w:style w:type="character" w:customStyle="1" w:styleId="126">
    <w:name w:val="尾注文本 字符"/>
    <w:basedOn w:val="89"/>
    <w:link w:val="52"/>
    <w:autoRedefine/>
    <w:semiHidden/>
    <w:qFormat/>
    <w:uiPriority w:val="0"/>
    <w:rPr>
      <w:rFonts w:asciiTheme="minorHAnsi" w:hAnsiTheme="minorHAnsi" w:eastAsiaTheme="minorEastAsia" w:cstheme="minorBidi"/>
      <w:kern w:val="2"/>
      <w:sz w:val="21"/>
      <w:szCs w:val="22"/>
    </w:rPr>
  </w:style>
  <w:style w:type="character" w:customStyle="1" w:styleId="127">
    <w:name w:val="文档结构图 字符"/>
    <w:basedOn w:val="89"/>
    <w:link w:val="26"/>
    <w:autoRedefine/>
    <w:semiHidden/>
    <w:qFormat/>
    <w:uiPriority w:val="0"/>
    <w:rPr>
      <w:rFonts w:ascii="Microsoft YaHei UI" w:eastAsia="Microsoft YaHei UI" w:hAnsiTheme="minorHAnsi" w:cstheme="minorBidi"/>
      <w:kern w:val="2"/>
      <w:sz w:val="18"/>
      <w:szCs w:val="18"/>
    </w:rPr>
  </w:style>
  <w:style w:type="paragraph" w:styleId="128">
    <w:name w:val="No Spacing"/>
    <w:autoRedefine/>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29">
    <w:name w:val="信息标题 字符"/>
    <w:basedOn w:val="89"/>
    <w:link w:val="79"/>
    <w:autoRedefine/>
    <w:semiHidden/>
    <w:qFormat/>
    <w:uiPriority w:val="0"/>
    <w:rPr>
      <w:rFonts w:asciiTheme="majorHAnsi" w:hAnsiTheme="majorHAnsi" w:eastAsiaTheme="majorEastAsia" w:cstheme="majorBidi"/>
      <w:kern w:val="2"/>
      <w:sz w:val="24"/>
      <w:szCs w:val="24"/>
      <w:shd w:val="pct20" w:color="auto" w:fill="auto"/>
    </w:rPr>
  </w:style>
  <w:style w:type="paragraph" w:styleId="130">
    <w:name w:val="Quote"/>
    <w:basedOn w:val="1"/>
    <w:next w:val="1"/>
    <w:link w:val="131"/>
    <w:autoRedefine/>
    <w:semiHidden/>
    <w:unhideWhenUsed/>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31">
    <w:name w:val="引用 字符"/>
    <w:basedOn w:val="89"/>
    <w:link w:val="130"/>
    <w:autoRedefine/>
    <w:semiHidden/>
    <w:qFormat/>
    <w:uiPriority w:val="9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132">
    <w:name w:val="正文文本 字符"/>
    <w:basedOn w:val="89"/>
    <w:link w:val="34"/>
    <w:autoRedefine/>
    <w:semiHidden/>
    <w:qFormat/>
    <w:uiPriority w:val="0"/>
    <w:rPr>
      <w:rFonts w:asciiTheme="minorHAnsi" w:hAnsiTheme="minorHAnsi" w:eastAsiaTheme="minorEastAsia" w:cstheme="minorBidi"/>
      <w:kern w:val="2"/>
      <w:sz w:val="21"/>
      <w:szCs w:val="22"/>
    </w:rPr>
  </w:style>
  <w:style w:type="character" w:customStyle="1" w:styleId="133">
    <w:name w:val="正文文本 2 字符"/>
    <w:basedOn w:val="89"/>
    <w:link w:val="76"/>
    <w:autoRedefine/>
    <w:semiHidden/>
    <w:qFormat/>
    <w:uiPriority w:val="0"/>
    <w:rPr>
      <w:rFonts w:asciiTheme="minorHAnsi" w:hAnsiTheme="minorHAnsi" w:eastAsiaTheme="minorEastAsia" w:cstheme="minorBidi"/>
      <w:kern w:val="2"/>
      <w:sz w:val="21"/>
      <w:szCs w:val="22"/>
    </w:rPr>
  </w:style>
  <w:style w:type="character" w:customStyle="1" w:styleId="134">
    <w:name w:val="正文文本 3 字符"/>
    <w:basedOn w:val="89"/>
    <w:link w:val="31"/>
    <w:autoRedefine/>
    <w:semiHidden/>
    <w:qFormat/>
    <w:uiPriority w:val="0"/>
    <w:rPr>
      <w:rFonts w:asciiTheme="minorHAnsi" w:hAnsiTheme="minorHAnsi" w:eastAsiaTheme="minorEastAsia" w:cstheme="minorBidi"/>
      <w:kern w:val="2"/>
      <w:sz w:val="16"/>
      <w:szCs w:val="16"/>
    </w:rPr>
  </w:style>
  <w:style w:type="character" w:customStyle="1" w:styleId="135">
    <w:name w:val="正文文本首行缩进 字符"/>
    <w:basedOn w:val="132"/>
    <w:link w:val="86"/>
    <w:autoRedefine/>
    <w:semiHidden/>
    <w:qFormat/>
    <w:uiPriority w:val="0"/>
    <w:rPr>
      <w:rFonts w:asciiTheme="minorHAnsi" w:hAnsiTheme="minorHAnsi" w:eastAsiaTheme="minorEastAsia" w:cstheme="minorBidi"/>
      <w:kern w:val="2"/>
      <w:sz w:val="21"/>
      <w:szCs w:val="22"/>
    </w:rPr>
  </w:style>
  <w:style w:type="character" w:customStyle="1" w:styleId="136">
    <w:name w:val="正文文本缩进 字符"/>
    <w:basedOn w:val="89"/>
    <w:link w:val="35"/>
    <w:autoRedefine/>
    <w:semiHidden/>
    <w:qFormat/>
    <w:uiPriority w:val="0"/>
    <w:rPr>
      <w:rFonts w:asciiTheme="minorHAnsi" w:hAnsiTheme="minorHAnsi" w:eastAsiaTheme="minorEastAsia" w:cstheme="minorBidi"/>
      <w:kern w:val="2"/>
      <w:sz w:val="21"/>
      <w:szCs w:val="22"/>
    </w:rPr>
  </w:style>
  <w:style w:type="character" w:customStyle="1" w:styleId="137">
    <w:name w:val="正文文本首行缩进 2 字符"/>
    <w:basedOn w:val="136"/>
    <w:link w:val="87"/>
    <w:autoRedefine/>
    <w:semiHidden/>
    <w:qFormat/>
    <w:uiPriority w:val="0"/>
    <w:rPr>
      <w:rFonts w:asciiTheme="minorHAnsi" w:hAnsiTheme="minorHAnsi" w:eastAsiaTheme="minorEastAsia" w:cstheme="minorBidi"/>
      <w:kern w:val="2"/>
      <w:sz w:val="21"/>
      <w:szCs w:val="22"/>
    </w:rPr>
  </w:style>
  <w:style w:type="character" w:customStyle="1" w:styleId="138">
    <w:name w:val="正文文本缩进 2 字符"/>
    <w:basedOn w:val="89"/>
    <w:link w:val="51"/>
    <w:autoRedefine/>
    <w:semiHidden/>
    <w:qFormat/>
    <w:uiPriority w:val="0"/>
    <w:rPr>
      <w:rFonts w:asciiTheme="minorHAnsi" w:hAnsiTheme="minorHAnsi" w:eastAsiaTheme="minorEastAsia" w:cstheme="minorBidi"/>
      <w:kern w:val="2"/>
      <w:sz w:val="21"/>
      <w:szCs w:val="22"/>
    </w:rPr>
  </w:style>
  <w:style w:type="character" w:customStyle="1" w:styleId="139">
    <w:name w:val="正文文本缩进 3 字符"/>
    <w:basedOn w:val="89"/>
    <w:link w:val="70"/>
    <w:autoRedefine/>
    <w:semiHidden/>
    <w:qFormat/>
    <w:uiPriority w:val="0"/>
    <w:rPr>
      <w:rFonts w:asciiTheme="minorHAnsi" w:hAnsiTheme="minorHAnsi" w:eastAsiaTheme="minorEastAsia" w:cstheme="minorBidi"/>
      <w:kern w:val="2"/>
      <w:sz w:val="16"/>
      <w:szCs w:val="16"/>
    </w:rPr>
  </w:style>
  <w:style w:type="character" w:customStyle="1" w:styleId="140">
    <w:name w:val="注释标题 字符"/>
    <w:basedOn w:val="89"/>
    <w:link w:val="16"/>
    <w:autoRedefine/>
    <w:semiHidden/>
    <w:qFormat/>
    <w:uiPriority w:val="0"/>
    <w:rPr>
      <w:rFonts w:asciiTheme="minorHAnsi" w:hAnsiTheme="minorHAnsi" w:eastAsiaTheme="minorEastAsia" w:cstheme="minorBidi"/>
      <w:kern w:val="2"/>
      <w:sz w:val="21"/>
      <w:szCs w:val="22"/>
    </w:rPr>
  </w:style>
  <w:style w:type="character" w:customStyle="1" w:styleId="141">
    <w:name w:val="未处理的提及1"/>
    <w:basedOn w:val="89"/>
    <w:autoRedefine/>
    <w:semiHidden/>
    <w:unhideWhenUsed/>
    <w:qFormat/>
    <w:uiPriority w:val="99"/>
    <w:rPr>
      <w:color w:val="605E5C"/>
      <w:shd w:val="clear" w:color="auto" w:fill="E1DFDD"/>
    </w:rPr>
  </w:style>
  <w:style w:type="paragraph" w:customStyle="1" w:styleId="142">
    <w:name w:val="修订4"/>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3">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4">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671d6580-5c61-4242-a156-8f0b050bcc5e</errorID>
      <errorWord>2025年12月04日</errorWord>
      <group>L1_Knowledge</group>
      <groupName>知识性问题</groupName>
      <ability>L2_Time</ability>
      <abilityName>日期时间</abilityName>
      <candidateList>
        <item>2025年12月4日</item>
      </candidateList>
      <explain>根据日常书写习惯，日期一般会省略前导零。</explain>
      <paraID>3C3FAFB4</paraID>
      <start>48</start>
      <end>59</end>
      <status>unmodified</status>
      <modifiedWord/>
      <trackRevisions>false</trackRevisions>
    </reviewItem>
    <reviewItem>
      <errorID>2b57a9dc-2c99-447b-879f-142d0f0e17a9</errorID>
      <errorWord>2025年12月09日</errorWord>
      <group>L1_Knowledge</group>
      <groupName>知识性问题</groupName>
      <ability>L2_Time</ability>
      <abilityName>日期时间</abilityName>
      <candidateList>
        <item>2025年12月9日</item>
      </candidateList>
      <explain>根据日常书写习惯，日期一般会省略前导零。</explain>
      <paraID>3C3FAFB4</paraID>
      <start>71</start>
      <end>82</end>
      <status>unmodified</status>
      <modifiedWord/>
      <trackRevisions>false</trackRevisions>
    </reviewItem>
    <reviewItem>
      <errorID>b53a8c0e-7f4e-4546-963f-c1faed5d6b5b</errorID>
      <errorWord>&lt;</errorWord>
      <group>L1_Format</group>
      <groupName>格式问题</groupName>
      <ability>L2_HalfPunc</ability>
      <abilityName>全半角检查</abilityName>
      <candidateList>
        <item>〈</item>
      </candidateList>
      <explain>文本全半角错误。</explain>
      <paraID>357934A8</paraID>
      <start>18</start>
      <end>19</end>
      <status>unmodified</status>
      <modifiedWord/>
      <trackRevisions>false</trackRevisions>
    </reviewItem>
    <reviewItem>
      <errorID>e9c7d3dc-d475-43d1-a0ba-7cb431b07b12</errorID>
      <errorWord>&gt;</errorWord>
      <group>L1_Format</group>
      <groupName>格式问题</groupName>
      <ability>L2_HalfPunc</ability>
      <abilityName>全半角检查</abilityName>
      <candidateList>
        <item>〉</item>
      </candidateList>
      <explain>文本全半角错误。</explain>
      <paraID>357934A8</paraID>
      <start>23</start>
      <end>24</end>
      <status>unmodified</status>
      <modifiedWord/>
      <trackRevisions>false</trackRevisions>
    </reviewItem>
    <reviewItem>
      <errorID>71183007-a368-4769-8084-fc49adc36b28</errorID>
      <errorWord>法律、法规</errorWord>
      <group>L1_Word</group>
      <groupName>字词问题</groupName>
      <ability>L2_Typo</ability>
      <abilityName>字词错误</abilityName>
      <candidateList>
        <item>法律法规</item>
      </candidateList>
      <explain/>
      <paraID>206B7123</paraID>
      <start>36</start>
      <end>41</end>
      <status>unmodified</status>
      <modifiedWord/>
      <trackRevisions>false</trackRevisions>
    </reviewItem>
    <reviewItem>
      <errorID>33a1554d-340a-4343-99e8-3076eb657170</errorID>
      <errorWord>&lt;</errorWord>
      <group>L1_Format</group>
      <groupName>格式问题</groupName>
      <ability>L2_HalfPunc</ability>
      <abilityName>全半角检查</abilityName>
      <candidateList>
        <item>〈</item>
      </candidateList>
      <explain>文本全半角错误。</explain>
      <paraID>3EB6AA62</paraID>
      <start>201</start>
      <end>202</end>
      <status>unmodified</status>
      <modifiedWord/>
      <trackRevisions>false</trackRevisions>
    </reviewItem>
    <reviewItem>
      <errorID>c9a7696f-e918-49db-8f96-488c35fc45a9</errorID>
      <errorWord>&gt;</errorWord>
      <group>L1_Format</group>
      <groupName>格式问题</groupName>
      <ability>L2_HalfPunc</ability>
      <abilityName>全半角检查</abilityName>
      <candidateList>
        <item>〉</item>
      </candidateList>
      <explain>文本全半角错误。</explain>
      <paraID>3EB6AA62</paraID>
      <start>206</start>
      <end>207</end>
      <status>unmodified</status>
      <modifiedWord/>
      <trackRevisions>false</trackRevisions>
    </reviewItem>
    <reviewItem>
      <errorID>24ff4195-1633-472f-8033-533e7f494a23</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61BD3B58</paraID>
      <start>33</start>
      <end>36</end>
      <status>unmodified</status>
      <modifiedWord/>
      <trackRevisions>false</trackRevisions>
    </reviewItem>
    <reviewItem>
      <errorID>5233e2b9-2bf1-4c98-8a81-144c15a2c840</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61BD3B58</paraID>
      <start>38</start>
      <end>41</end>
      <status>unmodified</status>
      <modifiedWord/>
      <trackRevisions>false</trackRevisions>
    </reviewItem>
    <reviewItem>
      <errorID>2d7ed26a-e74e-4bc6-bc54-5e94124f9723</errorID>
      <errorWord>1 审议关于修订《董事会审计委员会工作细则》</errorWord>
      <group>L1_AI</group>
      <groupName>深度校对</groupName>
      <ability>L2_AI_Title</ability>
      <abilityName>标题检查</abilityName>
      <candidateList/>
      <explain>相邻标题序号不连续。二级标题（二）下的三级标题序号应使用“1.”“2.”等形式，此标题序号未加点，且后续三级标题均存在此问题</explain>
      <paraID>4ABFE211</paraID>
      <start>0</start>
      <end>22</end>
      <status>unmodified</status>
      <modifiedWord/>
      <trackRevisions>false</trackRevisions>
    </reviewItem>
    <reviewItem>
      <errorID>2607d61f-4189-4074-a4a3-b61c04d3ec8e</errorID>
      <errorWord>审议</errorWord>
      <group>L1_AI</group>
      <groupName>深度校对</groupName>
      <ability>L2_AI_Punc</ability>
      <abilityName>标点纠错</abilityName>
      <candidateList>
        <item>.审议</item>
      </candidateList>
      <explain/>
      <paraID>285B6499</paraID>
      <start>1</start>
      <end>3</end>
      <status>unmodified</status>
      <modifiedWord/>
      <trackRevisions>false</trackRevisions>
    </reviewItem>
    <reviewItem>
      <errorID>fd185323-2bd8-4244-ae7e-af9a509c14c3</errorID>
      <errorWord>审议</errorWord>
      <group>L1_AI</group>
      <groupName>深度校对</groupName>
      <ability>L2_AI_Punc</ability>
      <abilityName>标点纠错</abilityName>
      <candidateList>
        <item>.审议</item>
      </candidateList>
      <explain/>
      <paraID>30EBDF26</paraID>
      <start>1</start>
      <end>3</end>
      <status>unmodified</status>
      <modifiedWord/>
      <trackRevisions>false</trackRevisions>
    </reviewItem>
    <reviewItem>
      <errorID>24f1a3cd-6a31-434a-83ee-ef3cb121c0ac</errorID>
      <errorWord>资金使用</errorWord>
      <group>L1_AI</group>
      <groupName>深度校对</groupName>
      <ability>L2_AI_Grammar</ability>
      <abilityName>语法纠错</abilityName>
      <candidateList>
        <item>资金</item>
      </candidateList>
      <explain/>
      <paraID>538278D3</paraID>
      <start>93</start>
      <end>97</end>
      <status>unmodified</status>
      <modifiedWord/>
      <trackRevisions>false</trackRevisions>
    </reviewItem>
    <reviewItem>
      <errorID>36ec5490-f675-4774-98a2-78d977066303</errorID>
      <errorWord>）</errorWord>
      <group>L1_AI</group>
      <groupName>深度校对</groupName>
      <ability>L2_AI_Punc</ability>
      <abilityName>标点纠错</abilityName>
      <candidateList>
        <item>）。</item>
      </candidateList>
      <explain/>
      <paraID>497C33DE</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f5828154-83f3-49a7-bad6-d525a006892c}">
  <ds:schemaRefs/>
</ds:datastoreItem>
</file>

<file path=docProps/app.xml><?xml version="1.0" encoding="utf-8"?>
<Properties xmlns="http://schemas.openxmlformats.org/officeDocument/2006/extended-properties" xmlns:vt="http://schemas.openxmlformats.org/officeDocument/2006/docPropsVTypes">
  <Template>Normal</Template>
  <Company>嘉源律师事务所</Company>
  <Pages>7</Pages>
  <Words>3646</Words>
  <Characters>3821</Characters>
  <Lines>97</Lines>
  <Paragraphs>95</Paragraphs>
  <TotalTime>10</TotalTime>
  <ScaleCrop>false</ScaleCrop>
  <LinksUpToDate>false</LinksUpToDate>
  <CharactersWithSpaces>3864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2025-10-28T05:51:00Z</dcterms:created>
  <dc:creator>BJB-ZB-03</dc:creator>
  <cp:lastModifiedBy>雯亦</cp:lastModifiedBy>
  <dcterms:modified xsi:type="dcterms:W3CDTF">2025-12-10T08:14:55Z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F1D433F160274DC68D5AB5526F701603_13</vt:lpwstr>
  </property>
  <property fmtid="{D5CDD505-2E9C-101B-9397-08002B2CF9AE}" pid="4" name="KSOTemplateDocerSaveRecord">
    <vt:lpwstr>eyJoZGlkIjoiZTQzZmRmZDMxMjkwMDE2NTk0ZWQ1ZWYwMzRmYjVhNmUiLCJ1c2VySWQiOiI2NDQwNzQxNTQifQ==</vt:lpwstr>
  </property>
</Properties>
</file>