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C01231">
      <w:pPr>
        <w:adjustRightInd w:val="0"/>
        <w:snapToGrid w:val="0"/>
        <w:spacing w:line="560" w:lineRule="exact"/>
        <w:jc w:val="left"/>
        <w:rPr>
          <w:rFonts w:hint="default" w:ascii="宋体" w:hAnsi="宋体" w:eastAsia="宋体"/>
          <w:b/>
          <w:sz w:val="24"/>
          <w:szCs w:val="24"/>
          <w:lang w:val="en-US" w:eastAsia="zh-CN"/>
        </w:rPr>
      </w:pPr>
      <w:r>
        <w:rPr>
          <w:rFonts w:hint="eastAsia" w:ascii="宋体" w:hAnsi="宋体" w:eastAsia="宋体"/>
          <w:b/>
          <w:sz w:val="24"/>
          <w:szCs w:val="24"/>
        </w:rPr>
        <w:t>证券代码：</w:t>
      </w:r>
      <w:r>
        <w:rPr>
          <w:rFonts w:ascii="宋体" w:hAnsi="宋体" w:eastAsia="宋体"/>
          <w:b/>
          <w:sz w:val="24"/>
          <w:szCs w:val="24"/>
        </w:rPr>
        <w:t xml:space="preserve">603191       </w:t>
      </w:r>
      <w:r>
        <w:rPr>
          <w:rFonts w:hint="eastAsia" w:ascii="宋体" w:hAnsi="宋体" w:eastAsia="宋体"/>
          <w:b/>
          <w:sz w:val="24"/>
          <w:szCs w:val="24"/>
        </w:rPr>
        <w:t xml:space="preserve">证券简称：望变电气 </w:t>
      </w:r>
      <w:r>
        <w:rPr>
          <w:rFonts w:ascii="宋体" w:hAnsi="宋体" w:eastAsia="宋体"/>
          <w:b/>
          <w:sz w:val="24"/>
          <w:szCs w:val="24"/>
        </w:rPr>
        <w:t xml:space="preserve">        </w:t>
      </w:r>
      <w:r>
        <w:rPr>
          <w:rFonts w:hint="eastAsia" w:ascii="宋体" w:hAnsi="宋体" w:eastAsia="宋体"/>
          <w:b/>
          <w:sz w:val="24"/>
          <w:szCs w:val="24"/>
        </w:rPr>
        <w:t>公告编号：2</w:t>
      </w:r>
      <w:r>
        <w:rPr>
          <w:rFonts w:ascii="宋体" w:hAnsi="宋体" w:eastAsia="宋体"/>
          <w:b/>
          <w:sz w:val="24"/>
          <w:szCs w:val="24"/>
        </w:rPr>
        <w:t>02</w:t>
      </w:r>
      <w:r>
        <w:rPr>
          <w:rFonts w:hint="eastAsia" w:ascii="宋体" w:hAnsi="宋体" w:eastAsia="宋体"/>
          <w:b/>
          <w:sz w:val="24"/>
          <w:szCs w:val="24"/>
          <w:lang w:val="en-US" w:eastAsia="zh-CN"/>
        </w:rPr>
        <w:t>5-064</w:t>
      </w:r>
    </w:p>
    <w:p w14:paraId="327CE1EF">
      <w:pPr>
        <w:adjustRightInd w:val="0"/>
        <w:snapToGrid w:val="0"/>
        <w:spacing w:line="560" w:lineRule="exact"/>
        <w:jc w:val="left"/>
        <w:rPr>
          <w:rFonts w:ascii="仿宋" w:hAnsi="仿宋" w:eastAsia="仿宋_GB2312"/>
          <w:sz w:val="30"/>
          <w:szCs w:val="30"/>
        </w:rPr>
      </w:pPr>
    </w:p>
    <w:p w14:paraId="03212325">
      <w:pPr>
        <w:adjustRightInd w:val="0"/>
        <w:snapToGrid w:val="0"/>
        <w:spacing w:before="156" w:beforeLines="50" w:line="560" w:lineRule="exact"/>
        <w:jc w:val="center"/>
        <w:outlineLvl w:val="0"/>
        <w:rPr>
          <w:rFonts w:ascii="宋体" w:hAnsi="宋体" w:eastAsia="宋体" w:cs="仿宋_GB2312"/>
          <w:b/>
          <w:bCs/>
          <w:color w:val="FF0000"/>
          <w:sz w:val="36"/>
          <w:szCs w:val="36"/>
        </w:rPr>
      </w:pPr>
      <w:r>
        <w:rPr>
          <w:rFonts w:hint="eastAsia" w:ascii="宋体" w:hAnsi="宋体" w:eastAsia="宋体" w:cs="仿宋_GB2312"/>
          <w:b/>
          <w:bCs/>
          <w:color w:val="FF0000"/>
          <w:sz w:val="36"/>
          <w:szCs w:val="36"/>
        </w:rPr>
        <w:t>重庆望变电气（集团）股份有限公司</w:t>
      </w:r>
    </w:p>
    <w:p w14:paraId="577391B1">
      <w:pPr>
        <w:adjustRightInd w:val="0"/>
        <w:snapToGrid w:val="0"/>
        <w:spacing w:before="156" w:beforeLines="50" w:line="560" w:lineRule="exact"/>
        <w:jc w:val="center"/>
        <w:outlineLvl w:val="0"/>
        <w:rPr>
          <w:rFonts w:ascii="宋体" w:hAnsi="宋体" w:eastAsia="宋体" w:cs="仿宋_GB2312"/>
          <w:b/>
          <w:bCs/>
          <w:color w:val="FF0000"/>
          <w:sz w:val="36"/>
          <w:szCs w:val="36"/>
        </w:rPr>
      </w:pPr>
      <w:r>
        <w:rPr>
          <w:rFonts w:hint="eastAsia" w:ascii="宋体" w:hAnsi="宋体" w:eastAsia="宋体" w:cs="仿宋_GB2312"/>
          <w:b/>
          <w:bCs/>
          <w:color w:val="FF0000"/>
          <w:sz w:val="36"/>
          <w:szCs w:val="36"/>
        </w:rPr>
        <w:t>关于</w:t>
      </w:r>
      <w:r>
        <w:rPr>
          <w:rFonts w:hint="eastAsia" w:ascii="宋体" w:hAnsi="宋体" w:eastAsia="宋体" w:cs="仿宋_GB2312"/>
          <w:b/>
          <w:bCs/>
          <w:color w:val="FF0000"/>
          <w:sz w:val="36"/>
          <w:szCs w:val="36"/>
          <w:lang w:val="en-US" w:eastAsia="zh-CN"/>
        </w:rPr>
        <w:t>预计2026年度</w:t>
      </w:r>
      <w:r>
        <w:rPr>
          <w:rFonts w:hint="eastAsia" w:ascii="宋体" w:hAnsi="宋体" w:eastAsia="宋体" w:cs="仿宋_GB2312"/>
          <w:b/>
          <w:bCs/>
          <w:color w:val="FF0000"/>
          <w:sz w:val="36"/>
          <w:szCs w:val="36"/>
        </w:rPr>
        <w:t>使用闲置自有资金进行现金管理的公告</w:t>
      </w:r>
    </w:p>
    <w:p w14:paraId="70D87641">
      <w:pPr>
        <w:adjustRightInd w:val="0"/>
        <w:snapToGrid w:val="0"/>
        <w:spacing w:before="156" w:beforeLines="50" w:line="560" w:lineRule="exact"/>
        <w:jc w:val="center"/>
        <w:rPr>
          <w:rFonts w:ascii="仿宋_GB2312" w:hAnsi="仿宋_GB2312" w:eastAsia="仿宋_GB2312" w:cs="仿宋_GB2312"/>
          <w:b/>
          <w:bCs/>
          <w:color w:val="FF0000"/>
          <w:sz w:val="30"/>
          <w:szCs w:val="30"/>
        </w:rPr>
      </w:pPr>
    </w:p>
    <w:p w14:paraId="7CC96D45">
      <w:pPr>
        <w:pBdr>
          <w:top w:val="single" w:color="auto" w:sz="4" w:space="1"/>
          <w:left w:val="single" w:color="auto" w:sz="4" w:space="4"/>
          <w:bottom w:val="single" w:color="auto" w:sz="4" w:space="1"/>
          <w:right w:val="single" w:color="auto" w:sz="4" w:space="4"/>
        </w:pBdr>
        <w:adjustRightInd w:val="0"/>
        <w:snapToGrid w:val="0"/>
        <w:spacing w:line="56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本公司董事会及全体董事保证本公告内容不存在任何虚假记载、误导性陈述或者重大遗漏，并对其内容的真实性、准确性和完整性承担法律责任。</w:t>
      </w:r>
    </w:p>
    <w:p w14:paraId="71F4E492">
      <w:pPr>
        <w:autoSpaceDE w:val="0"/>
        <w:autoSpaceDN w:val="0"/>
        <w:adjustRightInd w:val="0"/>
        <w:snapToGrid w:val="0"/>
        <w:spacing w:line="560" w:lineRule="exact"/>
        <w:rPr>
          <w:rFonts w:ascii="宋体" w:hAnsi="宋体" w:eastAsia="宋体"/>
          <w:color w:val="000000"/>
          <w:sz w:val="24"/>
          <w:szCs w:val="24"/>
        </w:rPr>
      </w:pPr>
    </w:p>
    <w:p w14:paraId="11EDB261">
      <w:pPr>
        <w:adjustRightInd w:val="0"/>
        <w:snapToGrid w:val="0"/>
        <w:spacing w:line="560" w:lineRule="exact"/>
        <w:ind w:firstLine="480" w:firstLineChars="200"/>
        <w:rPr>
          <w:rFonts w:ascii="宋体" w:hAnsi="宋体" w:eastAsia="宋体"/>
          <w:color w:val="000000"/>
          <w:sz w:val="24"/>
          <w:szCs w:val="24"/>
        </w:rPr>
      </w:pPr>
      <w:r>
        <w:rPr>
          <w:rFonts w:hint="eastAsia" w:ascii="宋体" w:hAnsi="宋体" w:eastAsia="宋体"/>
          <w:color w:val="000000"/>
          <w:sz w:val="24"/>
          <w:szCs w:val="24"/>
        </w:rPr>
        <w:t>重庆望变电气（集团）股份有限公司（以下简称“公司”）于202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r>
        <w:rPr>
          <w:rFonts w:hint="eastAsia" w:ascii="宋体" w:hAnsi="宋体" w:eastAsia="宋体"/>
          <w:color w:val="000000"/>
          <w:sz w:val="24"/>
          <w:szCs w:val="24"/>
          <w:lang w:val="en-US" w:eastAsia="zh-CN"/>
        </w:rPr>
        <w:t>12</w:t>
      </w:r>
      <w:r>
        <w:rPr>
          <w:rFonts w:hint="eastAsia" w:ascii="宋体" w:hAnsi="宋体" w:eastAsia="宋体"/>
          <w:color w:val="000000"/>
          <w:sz w:val="24"/>
          <w:szCs w:val="24"/>
        </w:rPr>
        <w:t>月</w:t>
      </w:r>
      <w:r>
        <w:rPr>
          <w:rFonts w:hint="eastAsia" w:ascii="宋体" w:hAnsi="宋体" w:eastAsia="宋体"/>
          <w:color w:val="000000"/>
          <w:sz w:val="24"/>
          <w:szCs w:val="24"/>
          <w:lang w:val="en-US" w:eastAsia="zh-CN"/>
        </w:rPr>
        <w:t>09</w:t>
      </w:r>
      <w:r>
        <w:rPr>
          <w:rFonts w:hint="eastAsia" w:ascii="宋体" w:hAnsi="宋体" w:eastAsia="宋体"/>
          <w:color w:val="000000"/>
          <w:sz w:val="24"/>
          <w:szCs w:val="24"/>
        </w:rPr>
        <w:t>日召开了第四届董事会第</w:t>
      </w:r>
      <w:r>
        <w:rPr>
          <w:rFonts w:hint="eastAsia" w:ascii="宋体" w:hAnsi="宋体" w:eastAsia="宋体"/>
          <w:color w:val="000000"/>
          <w:sz w:val="24"/>
          <w:szCs w:val="24"/>
          <w:lang w:val="en-US" w:eastAsia="zh-CN"/>
        </w:rPr>
        <w:t>十五</w:t>
      </w:r>
      <w:r>
        <w:rPr>
          <w:rFonts w:hint="eastAsia" w:ascii="宋体" w:hAnsi="宋体" w:eastAsia="宋体"/>
          <w:color w:val="000000"/>
          <w:sz w:val="24"/>
          <w:szCs w:val="24"/>
        </w:rPr>
        <w:t>次会议和第四届董事会审计委员会第十次会议，审议通过了《关于预计2026年度使用闲置自有资金进行现金管理的议案》，同意公司任一时点使用闲置自有资金进行现金管理总额不超过1</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亿元（含本数），该额度的有效期自</w:t>
      </w:r>
      <w:r>
        <w:rPr>
          <w:rFonts w:hint="eastAsia" w:ascii="宋体" w:hAnsi="宋体" w:eastAsia="宋体"/>
          <w:color w:val="000000"/>
          <w:sz w:val="24"/>
          <w:szCs w:val="24"/>
          <w:lang w:val="en-US" w:eastAsia="zh-CN"/>
        </w:rPr>
        <w:t>2026年1月1日至2026年12月31日止，</w:t>
      </w:r>
      <w:r>
        <w:rPr>
          <w:rFonts w:hint="eastAsia" w:ascii="宋体" w:hAnsi="宋体" w:eastAsia="宋体"/>
          <w:color w:val="000000"/>
          <w:sz w:val="24"/>
          <w:szCs w:val="24"/>
        </w:rPr>
        <w:t>在上述额度及有效期限内，公司可循环滚动使用</w:t>
      </w:r>
      <w:r>
        <w:rPr>
          <w:rFonts w:hint="eastAsia" w:ascii="宋体" w:hAnsi="宋体" w:eastAsia="宋体"/>
          <w:color w:val="000000"/>
          <w:sz w:val="24"/>
          <w:szCs w:val="24"/>
          <w:lang w:eastAsia="zh-CN"/>
        </w:rPr>
        <w:t>。</w:t>
      </w:r>
      <w:r>
        <w:rPr>
          <w:rFonts w:hint="eastAsia" w:ascii="宋体" w:hAnsi="宋体" w:eastAsia="宋体"/>
          <w:color w:val="000000"/>
          <w:sz w:val="24"/>
          <w:szCs w:val="24"/>
        </w:rPr>
        <w:t>公司董事会授权总经理或其授权人士行使该项投资决策权并签署相关合同或协议等文件资料，并由公司财务部组织实施相关事宜。具体情况如下：</w:t>
      </w:r>
    </w:p>
    <w:p w14:paraId="77D425BA">
      <w:pPr>
        <w:adjustRightInd w:val="0"/>
        <w:snapToGrid w:val="0"/>
        <w:spacing w:line="560" w:lineRule="exact"/>
        <w:ind w:firstLine="482" w:firstLineChars="200"/>
        <w:outlineLvl w:val="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一、本次使用部分闲置自有资金进行现金管理的基本情况</w:t>
      </w:r>
    </w:p>
    <w:p w14:paraId="1FED2470">
      <w:pPr>
        <w:adjustRightInd w:val="0"/>
        <w:snapToGrid w:val="0"/>
        <w:spacing w:line="560" w:lineRule="exact"/>
        <w:ind w:firstLine="480" w:firstLineChars="200"/>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（一）现金管理目的</w:t>
      </w:r>
    </w:p>
    <w:p w14:paraId="266BE24B">
      <w:pPr>
        <w:adjustRightInd w:val="0"/>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在确保日常经营资金需求和资金安全的前提下，对部分闲置自有资金进行现金管理，提高资金使用效率，增加公司收益。</w:t>
      </w:r>
    </w:p>
    <w:p w14:paraId="4A6026B5">
      <w:pPr>
        <w:adjustRightInd w:val="0"/>
        <w:snapToGrid w:val="0"/>
        <w:spacing w:line="560" w:lineRule="exact"/>
        <w:ind w:firstLine="480" w:firstLineChars="200"/>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（二）现金管理额度</w:t>
      </w:r>
    </w:p>
    <w:p w14:paraId="41E455CD">
      <w:pPr>
        <w:adjustRightInd w:val="0"/>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公司及子公司任一时点使用闲置自有资金进行现金管理总额不超过12亿元（含本数），在上述资金额度内可以滚动使用。</w:t>
      </w:r>
    </w:p>
    <w:p w14:paraId="7023338A">
      <w:pPr>
        <w:adjustRightInd w:val="0"/>
        <w:snapToGrid w:val="0"/>
        <w:spacing w:line="560" w:lineRule="exact"/>
        <w:ind w:firstLine="480" w:firstLineChars="200"/>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（三）决策有效期</w:t>
      </w:r>
    </w:p>
    <w:p w14:paraId="3906C94C">
      <w:pPr>
        <w:adjustRightInd w:val="0"/>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2026年1月1日至2026年12月31日止。</w:t>
      </w:r>
    </w:p>
    <w:p w14:paraId="56C09049">
      <w:pPr>
        <w:adjustRightInd w:val="0"/>
        <w:snapToGrid w:val="0"/>
        <w:spacing w:line="560" w:lineRule="exact"/>
        <w:ind w:firstLine="480" w:firstLineChars="200"/>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（四）现金管理的品种</w:t>
      </w:r>
    </w:p>
    <w:p w14:paraId="359773CC">
      <w:pPr>
        <w:adjustRightInd w:val="0"/>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低风险、流动性好的短期（不超过1年）理财产品或结构性存款。</w:t>
      </w:r>
    </w:p>
    <w:p w14:paraId="7652B6CF">
      <w:pPr>
        <w:adjustRightInd w:val="0"/>
        <w:snapToGrid w:val="0"/>
        <w:spacing w:line="560" w:lineRule="exact"/>
        <w:ind w:firstLine="480" w:firstLineChars="200"/>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（五）实施方式</w:t>
      </w:r>
    </w:p>
    <w:p w14:paraId="0E96F6F2">
      <w:pPr>
        <w:adjustRightInd w:val="0"/>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在上述额度范围内，董事会授权总经理或其授权人士行使该项投资决策权并签署相关合同或协议等文件资料，并由公司财务部门组织实施相关事宜。</w:t>
      </w:r>
    </w:p>
    <w:p w14:paraId="60FAF7A3">
      <w:pPr>
        <w:adjustRightInd w:val="0"/>
        <w:snapToGrid w:val="0"/>
        <w:spacing w:line="560" w:lineRule="exact"/>
        <w:ind w:firstLine="482" w:firstLineChars="200"/>
        <w:outlineLvl w:val="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二、风险控制措施</w:t>
      </w:r>
    </w:p>
    <w:p w14:paraId="21E4738D">
      <w:pPr>
        <w:adjustRightInd w:val="0"/>
        <w:snapToGrid w:val="0"/>
        <w:spacing w:line="560" w:lineRule="exact"/>
        <w:ind w:firstLine="480" w:firstLineChars="200"/>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（一）严格筛选投资产品</w:t>
      </w:r>
    </w:p>
    <w:p w14:paraId="27E1EECE">
      <w:pPr>
        <w:adjustRightInd w:val="0"/>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公司现金管理仅限于购买低风险、流动性好的短期（不超过1年）理财产品或结构性存款。</w:t>
      </w:r>
    </w:p>
    <w:p w14:paraId="6EE95F38">
      <w:pPr>
        <w:adjustRightInd w:val="0"/>
        <w:snapToGrid w:val="0"/>
        <w:spacing w:line="560" w:lineRule="exact"/>
        <w:ind w:firstLine="480" w:firstLineChars="200"/>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（二）实时跟踪、分析</w:t>
      </w:r>
    </w:p>
    <w:p w14:paraId="0BD87ECD">
      <w:pPr>
        <w:adjustRightInd w:val="0"/>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公司财务部门相关人员将及时分析和跟踪产品投向、净值变动等情况，如评估发现存在可能影响公司资金安全的风险因素，将及时采取相应措施，控制投资风险。</w:t>
      </w:r>
    </w:p>
    <w:p w14:paraId="4DFA11E6">
      <w:pPr>
        <w:adjustRightInd w:val="0"/>
        <w:snapToGrid w:val="0"/>
        <w:spacing w:line="560" w:lineRule="exact"/>
        <w:ind w:firstLine="480" w:firstLineChars="200"/>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（三）建立台账、会计账目</w:t>
      </w:r>
    </w:p>
    <w:p w14:paraId="00211A5B">
      <w:pPr>
        <w:adjustRightInd w:val="0"/>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公司财务部门须建立台账对使用暂时闲置自有资金购买的投资产品进行管理，做好资金使用的账务核算工作。</w:t>
      </w:r>
    </w:p>
    <w:p w14:paraId="07F3C690">
      <w:pPr>
        <w:adjustRightInd w:val="0"/>
        <w:snapToGrid w:val="0"/>
        <w:spacing w:line="560" w:lineRule="exact"/>
        <w:ind w:firstLine="480" w:firstLineChars="200"/>
        <w:outlineLvl w:val="1"/>
        <w:rPr>
          <w:rFonts w:hint="eastAsia" w:ascii="宋体" w:hAnsi="宋体" w:eastAsia="宋体" w:cs="宋体"/>
          <w:color w:val="000000"/>
          <w:sz w:val="24"/>
          <w:szCs w:val="24"/>
        </w:rPr>
      </w:pPr>
      <w:r>
        <w:rPr>
          <w:rFonts w:hint="eastAsia" w:ascii="宋体" w:hAnsi="宋体" w:eastAsia="宋体" w:cs="宋体"/>
          <w:color w:val="000000"/>
          <w:sz w:val="24"/>
          <w:szCs w:val="24"/>
        </w:rPr>
        <w:t>（四）检查与监督</w:t>
      </w:r>
    </w:p>
    <w:p w14:paraId="2023C246">
      <w:pPr>
        <w:adjustRightInd w:val="0"/>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公司独立董事及审计委员会有权对公司以闲置自有资金进行现金管理的事项进行监督与检查，必要时可以聘请专业机构进行审计。</w:t>
      </w:r>
    </w:p>
    <w:p w14:paraId="37776499">
      <w:pPr>
        <w:adjustRightInd w:val="0"/>
        <w:snapToGrid w:val="0"/>
        <w:spacing w:line="560" w:lineRule="exact"/>
        <w:ind w:firstLine="482" w:firstLineChars="200"/>
        <w:outlineLvl w:val="0"/>
        <w:rPr>
          <w:rFonts w:hint="eastAsia" w:ascii="宋体" w:hAnsi="宋体" w:eastAsia="宋体" w:cs="宋体"/>
          <w:b/>
          <w:bCs/>
          <w:color w:val="000000"/>
          <w:sz w:val="24"/>
          <w:szCs w:val="24"/>
        </w:rPr>
      </w:pPr>
      <w:r>
        <w:rPr>
          <w:rFonts w:hint="eastAsia" w:ascii="宋体" w:hAnsi="宋体" w:eastAsia="宋体" w:cs="宋体"/>
          <w:b/>
          <w:bCs/>
          <w:color w:val="000000"/>
          <w:sz w:val="24"/>
          <w:szCs w:val="24"/>
        </w:rPr>
        <w:t>三、对公司的影响</w:t>
      </w:r>
    </w:p>
    <w:p w14:paraId="7548567F">
      <w:pPr>
        <w:adjustRightInd w:val="0"/>
        <w:snapToGrid w:val="0"/>
        <w:spacing w:line="56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在确保日常经营资金需求和资金安全的前提下，公司使用闲置自有资金进行现金管理，不会影响公司主营业务的正常开展；公司合理利用部分闲置自有资金进行现金管理，有利于提高公司资金使用效率，增加资金收益，符合公司及全体股东的利益。</w:t>
      </w:r>
    </w:p>
    <w:p w14:paraId="00FA6011">
      <w:pPr>
        <w:adjustRightInd w:val="0"/>
        <w:snapToGrid w:val="0"/>
        <w:spacing w:line="560" w:lineRule="exact"/>
        <w:ind w:firstLine="482" w:firstLineChars="200"/>
        <w:rPr>
          <w:rFonts w:ascii="宋体" w:hAnsi="宋体" w:eastAsia="宋体"/>
          <w:b/>
          <w:bCs/>
          <w:color w:val="000000"/>
          <w:sz w:val="24"/>
          <w:szCs w:val="24"/>
        </w:rPr>
      </w:pPr>
      <w:r>
        <w:rPr>
          <w:rFonts w:hint="eastAsia" w:ascii="宋体" w:hAnsi="宋体" w:eastAsia="宋体"/>
          <w:b/>
          <w:bCs/>
          <w:color w:val="000000"/>
          <w:sz w:val="24"/>
          <w:szCs w:val="24"/>
        </w:rPr>
        <w:t>四、决策程序的履行</w:t>
      </w:r>
      <w:bookmarkStart w:id="0" w:name="_GoBack"/>
      <w:bookmarkEnd w:id="0"/>
    </w:p>
    <w:p w14:paraId="220E6833">
      <w:pPr>
        <w:adjustRightInd w:val="0"/>
        <w:snapToGrid w:val="0"/>
        <w:spacing w:line="560" w:lineRule="exact"/>
        <w:ind w:firstLine="480" w:firstLineChars="200"/>
        <w:rPr>
          <w:rFonts w:ascii="宋体" w:hAnsi="宋体" w:eastAsia="宋体"/>
          <w:color w:val="000000"/>
          <w:sz w:val="24"/>
          <w:szCs w:val="24"/>
        </w:rPr>
      </w:pPr>
      <w:r>
        <w:rPr>
          <w:rFonts w:hint="eastAsia" w:ascii="宋体" w:hAnsi="宋体" w:eastAsia="宋体"/>
          <w:color w:val="000000"/>
          <w:sz w:val="24"/>
          <w:szCs w:val="24"/>
        </w:rPr>
        <w:t>1、决策程序的履行</w:t>
      </w:r>
    </w:p>
    <w:p w14:paraId="0486843C">
      <w:pPr>
        <w:adjustRightInd w:val="0"/>
        <w:snapToGrid w:val="0"/>
        <w:spacing w:line="560" w:lineRule="exact"/>
        <w:ind w:firstLine="480" w:firstLineChars="200"/>
        <w:rPr>
          <w:rFonts w:ascii="宋体" w:hAnsi="宋体" w:eastAsia="宋体"/>
          <w:color w:val="000000"/>
          <w:sz w:val="24"/>
          <w:szCs w:val="24"/>
        </w:rPr>
      </w:pPr>
      <w:r>
        <w:rPr>
          <w:rFonts w:hint="eastAsia" w:ascii="宋体" w:hAnsi="宋体" w:eastAsia="宋体"/>
          <w:color w:val="000000"/>
          <w:sz w:val="24"/>
          <w:szCs w:val="24"/>
          <w:lang w:val="en-US" w:eastAsia="zh-CN"/>
        </w:rPr>
        <w:t>公司</w:t>
      </w:r>
      <w:r>
        <w:rPr>
          <w:rFonts w:hint="eastAsia"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r>
        <w:rPr>
          <w:rFonts w:hint="eastAsia" w:ascii="宋体" w:hAnsi="宋体" w:eastAsia="宋体"/>
          <w:color w:val="000000"/>
          <w:sz w:val="24"/>
          <w:szCs w:val="24"/>
          <w:lang w:val="en-US" w:eastAsia="zh-CN"/>
        </w:rPr>
        <w:t>12</w:t>
      </w:r>
      <w:r>
        <w:rPr>
          <w:rFonts w:hint="eastAsia" w:ascii="宋体" w:hAnsi="宋体" w:eastAsia="宋体"/>
          <w:color w:val="000000"/>
          <w:sz w:val="24"/>
          <w:szCs w:val="24"/>
        </w:rPr>
        <w:t>月</w:t>
      </w:r>
      <w:r>
        <w:rPr>
          <w:rFonts w:hint="eastAsia" w:ascii="宋体" w:hAnsi="宋体" w:eastAsia="宋体"/>
          <w:color w:val="000000"/>
          <w:sz w:val="24"/>
          <w:szCs w:val="24"/>
          <w:lang w:val="en-US" w:eastAsia="zh-CN"/>
        </w:rPr>
        <w:t>09</w:t>
      </w:r>
      <w:r>
        <w:rPr>
          <w:rFonts w:hint="eastAsia" w:ascii="宋体" w:hAnsi="宋体" w:eastAsia="宋体"/>
          <w:color w:val="000000"/>
          <w:sz w:val="24"/>
          <w:szCs w:val="24"/>
        </w:rPr>
        <w:t>日召开了第四届董事会第</w:t>
      </w:r>
      <w:r>
        <w:rPr>
          <w:rFonts w:hint="eastAsia" w:ascii="宋体" w:hAnsi="宋体" w:eastAsia="宋体"/>
          <w:color w:val="000000"/>
          <w:sz w:val="24"/>
          <w:szCs w:val="24"/>
          <w:lang w:val="en-US" w:eastAsia="zh-CN"/>
        </w:rPr>
        <w:t>十五</w:t>
      </w:r>
      <w:r>
        <w:rPr>
          <w:rFonts w:hint="eastAsia" w:ascii="宋体" w:hAnsi="宋体" w:eastAsia="宋体"/>
          <w:color w:val="000000"/>
          <w:sz w:val="24"/>
          <w:szCs w:val="24"/>
        </w:rPr>
        <w:t>次会议和第四届董事会审计委员会第十次会议，审议通过了《关于预计2026年度使用闲置自有资金进行现金管理的议案》，同意公司任一时点使用闲置自有资金进行现金管理总额不超过1</w:t>
      </w:r>
      <w:r>
        <w:rPr>
          <w:rFonts w:hint="eastAsia" w:ascii="宋体" w:hAnsi="宋体" w:eastAsia="宋体"/>
          <w:color w:val="000000"/>
          <w:sz w:val="24"/>
          <w:szCs w:val="24"/>
          <w:lang w:val="en-US" w:eastAsia="zh-CN"/>
        </w:rPr>
        <w:t>2</w:t>
      </w:r>
      <w:r>
        <w:rPr>
          <w:rFonts w:hint="eastAsia" w:ascii="宋体" w:hAnsi="宋体" w:eastAsia="宋体"/>
          <w:color w:val="000000"/>
          <w:sz w:val="24"/>
          <w:szCs w:val="24"/>
        </w:rPr>
        <w:t>亿元（含本数），该额度的有效期自</w:t>
      </w:r>
      <w:r>
        <w:rPr>
          <w:rFonts w:hint="eastAsia" w:ascii="宋体" w:hAnsi="宋体" w:eastAsia="宋体"/>
          <w:color w:val="000000"/>
          <w:sz w:val="24"/>
          <w:szCs w:val="24"/>
          <w:lang w:val="en-US" w:eastAsia="zh-CN"/>
        </w:rPr>
        <w:t>2026年1月1日至2026年12月31日止，</w:t>
      </w:r>
      <w:r>
        <w:rPr>
          <w:rFonts w:hint="eastAsia" w:ascii="宋体" w:hAnsi="宋体" w:eastAsia="宋体"/>
          <w:color w:val="000000"/>
          <w:sz w:val="24"/>
          <w:szCs w:val="24"/>
        </w:rPr>
        <w:t>在上述额度及有效期限内，公司可循环滚动使用</w:t>
      </w:r>
      <w:r>
        <w:rPr>
          <w:rFonts w:hint="eastAsia" w:ascii="宋体" w:hAnsi="宋体" w:eastAsia="宋体"/>
          <w:color w:val="000000"/>
          <w:sz w:val="24"/>
          <w:szCs w:val="24"/>
          <w:lang w:eastAsia="zh-CN"/>
        </w:rPr>
        <w:t>。</w:t>
      </w:r>
      <w:r>
        <w:rPr>
          <w:rFonts w:hint="eastAsia" w:ascii="宋体" w:hAnsi="宋体" w:eastAsia="宋体"/>
          <w:color w:val="000000"/>
          <w:sz w:val="24"/>
          <w:szCs w:val="24"/>
        </w:rPr>
        <w:t>公司董事会授权总经理或其授权人士行使该项投资决策权并签署相关合同或协议等文件资料，并由公司财务部组织实施相关事宜。</w:t>
      </w:r>
    </w:p>
    <w:p w14:paraId="4FC2665D">
      <w:pPr>
        <w:adjustRightInd w:val="0"/>
        <w:snapToGrid w:val="0"/>
        <w:spacing w:line="560" w:lineRule="exact"/>
        <w:ind w:firstLine="480" w:firstLineChars="200"/>
        <w:rPr>
          <w:rFonts w:ascii="宋体" w:hAnsi="宋体" w:eastAsia="宋体"/>
          <w:color w:val="000000"/>
          <w:sz w:val="24"/>
          <w:szCs w:val="24"/>
        </w:rPr>
      </w:pPr>
      <w:r>
        <w:rPr>
          <w:rFonts w:hint="eastAsia" w:ascii="宋体" w:hAnsi="宋体" w:eastAsia="宋体"/>
          <w:color w:val="000000"/>
          <w:sz w:val="24"/>
          <w:szCs w:val="24"/>
        </w:rPr>
        <w:t>特此公告。</w:t>
      </w:r>
    </w:p>
    <w:p w14:paraId="5029EA88">
      <w:pPr>
        <w:adjustRightInd w:val="0"/>
        <w:snapToGrid w:val="0"/>
        <w:spacing w:line="560" w:lineRule="exact"/>
        <w:ind w:firstLine="480" w:firstLineChars="200"/>
        <w:rPr>
          <w:rFonts w:ascii="宋体" w:hAnsi="宋体" w:eastAsia="宋体"/>
          <w:color w:val="000000"/>
          <w:sz w:val="24"/>
          <w:szCs w:val="24"/>
        </w:rPr>
      </w:pPr>
    </w:p>
    <w:p w14:paraId="460CC312">
      <w:pPr>
        <w:adjustRightInd w:val="0"/>
        <w:snapToGrid w:val="0"/>
        <w:spacing w:line="560" w:lineRule="exact"/>
        <w:ind w:firstLine="480" w:firstLineChars="200"/>
        <w:jc w:val="right"/>
        <w:rPr>
          <w:rFonts w:ascii="宋体" w:hAnsi="宋体" w:eastAsia="宋体"/>
          <w:color w:val="000000"/>
          <w:sz w:val="24"/>
          <w:szCs w:val="24"/>
        </w:rPr>
      </w:pPr>
      <w:r>
        <w:rPr>
          <w:rFonts w:hint="eastAsia" w:ascii="宋体" w:hAnsi="宋体" w:eastAsia="宋体" w:cs="宋体"/>
          <w:color w:val="000000"/>
          <w:kern w:val="0"/>
          <w:sz w:val="24"/>
          <w:szCs w:val="24"/>
        </w:rPr>
        <w:t>重庆望变电气（集团）</w:t>
      </w:r>
      <w:r>
        <w:rPr>
          <w:rFonts w:hint="eastAsia" w:ascii="宋体" w:hAnsi="宋体" w:eastAsia="宋体" w:cs="仿宋_GB2312"/>
          <w:color w:val="000000"/>
          <w:sz w:val="24"/>
          <w:szCs w:val="24"/>
        </w:rPr>
        <w:t>股</w:t>
      </w:r>
      <w:r>
        <w:rPr>
          <w:rFonts w:hint="eastAsia" w:ascii="宋体" w:hAnsi="宋体" w:eastAsia="宋体"/>
          <w:color w:val="000000"/>
          <w:sz w:val="24"/>
          <w:szCs w:val="24"/>
        </w:rPr>
        <w:t>份有限公司董事会</w:t>
      </w:r>
    </w:p>
    <w:p w14:paraId="53565FE4">
      <w:pPr>
        <w:adjustRightInd w:val="0"/>
        <w:snapToGrid w:val="0"/>
        <w:spacing w:line="560" w:lineRule="exact"/>
        <w:ind w:firstLine="480" w:firstLineChars="200"/>
        <w:jc w:val="right"/>
        <w:rPr>
          <w:rFonts w:ascii="宋体" w:hAnsi="宋体" w:eastAsia="宋体"/>
          <w:color w:val="000000"/>
          <w:sz w:val="24"/>
          <w:szCs w:val="24"/>
        </w:rPr>
      </w:pPr>
      <w:r>
        <w:rPr>
          <w:rFonts w:ascii="宋体" w:hAnsi="宋体" w:eastAsia="宋体"/>
          <w:color w:val="000000"/>
          <w:sz w:val="24"/>
          <w:szCs w:val="24"/>
        </w:rPr>
        <w:t>202</w:t>
      </w:r>
      <w:r>
        <w:rPr>
          <w:rFonts w:hint="eastAsia" w:ascii="宋体" w:hAnsi="宋体" w:eastAsia="宋体"/>
          <w:color w:val="000000"/>
          <w:sz w:val="24"/>
          <w:szCs w:val="24"/>
          <w:lang w:val="en-US" w:eastAsia="zh-CN"/>
        </w:rPr>
        <w:t>5</w:t>
      </w:r>
      <w:r>
        <w:rPr>
          <w:rFonts w:hint="eastAsia" w:ascii="宋体" w:hAnsi="宋体" w:eastAsia="宋体"/>
          <w:color w:val="000000"/>
          <w:sz w:val="24"/>
          <w:szCs w:val="24"/>
        </w:rPr>
        <w:t>年</w:t>
      </w:r>
      <w:r>
        <w:rPr>
          <w:rFonts w:hint="eastAsia" w:ascii="宋体" w:hAnsi="宋体" w:eastAsia="宋体"/>
          <w:color w:val="000000"/>
          <w:sz w:val="24"/>
          <w:szCs w:val="24"/>
          <w:lang w:val="en-US" w:eastAsia="zh-CN"/>
        </w:rPr>
        <w:t>12</w:t>
      </w:r>
      <w:r>
        <w:rPr>
          <w:rFonts w:hint="eastAsia" w:ascii="宋体" w:hAnsi="宋体" w:eastAsia="宋体"/>
          <w:color w:val="000000"/>
          <w:sz w:val="24"/>
          <w:szCs w:val="24"/>
        </w:rPr>
        <w:t>月</w:t>
      </w:r>
      <w:r>
        <w:rPr>
          <w:rFonts w:hint="eastAsia" w:ascii="宋体" w:hAnsi="宋体" w:eastAsia="宋体"/>
          <w:color w:val="000000"/>
          <w:sz w:val="24"/>
          <w:szCs w:val="24"/>
          <w:lang w:val="en-US" w:eastAsia="zh-CN"/>
        </w:rPr>
        <w:t>11</w:t>
      </w:r>
      <w:r>
        <w:rPr>
          <w:rFonts w:hint="eastAsia" w:ascii="宋体" w:hAnsi="宋体" w:eastAsia="宋体"/>
          <w:color w:val="000000"/>
          <w:sz w:val="24"/>
          <w:szCs w:val="24"/>
        </w:rPr>
        <w:t>日</w:t>
      </w:r>
    </w:p>
    <w:p w14:paraId="084360A9">
      <w:pPr>
        <w:adjustRightInd w:val="0"/>
        <w:snapToGrid w:val="0"/>
        <w:spacing w:line="560" w:lineRule="exact"/>
        <w:rPr>
          <w:rFonts w:ascii="宋体" w:hAnsi="宋体" w:eastAsia="宋体" w:cs="宋体"/>
          <w:kern w:val="0"/>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B0604020202020204"/>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207842"/>
    </w:sdtPr>
    <w:sdtContent>
      <w:p w14:paraId="38F9C3B6">
        <w:pPr>
          <w:pStyle w:val="4"/>
          <w:jc w:val="center"/>
        </w:pPr>
        <w:r>
          <w:fldChar w:fldCharType="begin"/>
        </w:r>
        <w:r>
          <w:instrText xml:space="preserve">PAGE   \* MERGEFORMAT</w:instrText>
        </w:r>
        <w:r>
          <w:fldChar w:fldCharType="separate"/>
        </w:r>
        <w:r>
          <w:rPr>
            <w:lang w:val="zh-CN"/>
          </w:rPr>
          <w:t>5</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hideSpellingErrors/>
  <w:hideGrammatical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zZmRmZDMxMjkwMDE2NTk0ZWQ1ZWYwMzRmYjVhNmUifQ=="/>
  </w:docVars>
  <w:rsids>
    <w:rsidRoot w:val="521827E2"/>
    <w:rsid w:val="000015A1"/>
    <w:rsid w:val="0008555B"/>
    <w:rsid w:val="000857C7"/>
    <w:rsid w:val="000915DE"/>
    <w:rsid w:val="000B1A1F"/>
    <w:rsid w:val="000B726B"/>
    <w:rsid w:val="000E46E0"/>
    <w:rsid w:val="00123266"/>
    <w:rsid w:val="00127276"/>
    <w:rsid w:val="00140439"/>
    <w:rsid w:val="0014777F"/>
    <w:rsid w:val="001723E5"/>
    <w:rsid w:val="001748F5"/>
    <w:rsid w:val="00192BD0"/>
    <w:rsid w:val="001A727A"/>
    <w:rsid w:val="001A7942"/>
    <w:rsid w:val="001C1AC8"/>
    <w:rsid w:val="001D06CF"/>
    <w:rsid w:val="001D18AD"/>
    <w:rsid w:val="00207B64"/>
    <w:rsid w:val="00225FE6"/>
    <w:rsid w:val="00240088"/>
    <w:rsid w:val="002462D5"/>
    <w:rsid w:val="00252550"/>
    <w:rsid w:val="002B306B"/>
    <w:rsid w:val="002D6C0D"/>
    <w:rsid w:val="0032463B"/>
    <w:rsid w:val="00347CA1"/>
    <w:rsid w:val="003571E3"/>
    <w:rsid w:val="00391A1B"/>
    <w:rsid w:val="003D1F6B"/>
    <w:rsid w:val="003E38F1"/>
    <w:rsid w:val="003F1451"/>
    <w:rsid w:val="00401FE9"/>
    <w:rsid w:val="00425BF0"/>
    <w:rsid w:val="00433901"/>
    <w:rsid w:val="004569BD"/>
    <w:rsid w:val="00464AFC"/>
    <w:rsid w:val="00491096"/>
    <w:rsid w:val="004A204F"/>
    <w:rsid w:val="004A790E"/>
    <w:rsid w:val="004B5841"/>
    <w:rsid w:val="004D041E"/>
    <w:rsid w:val="004D0E8E"/>
    <w:rsid w:val="004D4AAB"/>
    <w:rsid w:val="00522BE2"/>
    <w:rsid w:val="005429C2"/>
    <w:rsid w:val="0055216A"/>
    <w:rsid w:val="005704F4"/>
    <w:rsid w:val="005A2954"/>
    <w:rsid w:val="005B7B64"/>
    <w:rsid w:val="005E3B6A"/>
    <w:rsid w:val="005F61E9"/>
    <w:rsid w:val="006150E2"/>
    <w:rsid w:val="00637BC1"/>
    <w:rsid w:val="00646D1E"/>
    <w:rsid w:val="006704CD"/>
    <w:rsid w:val="006E4DD1"/>
    <w:rsid w:val="006F53AF"/>
    <w:rsid w:val="006F5503"/>
    <w:rsid w:val="00701AEA"/>
    <w:rsid w:val="00726F44"/>
    <w:rsid w:val="0077799F"/>
    <w:rsid w:val="00795CF5"/>
    <w:rsid w:val="007A61FA"/>
    <w:rsid w:val="007B073D"/>
    <w:rsid w:val="007B1916"/>
    <w:rsid w:val="007C3FFA"/>
    <w:rsid w:val="00807588"/>
    <w:rsid w:val="00811F4F"/>
    <w:rsid w:val="008121A2"/>
    <w:rsid w:val="008133DA"/>
    <w:rsid w:val="00827495"/>
    <w:rsid w:val="008320FC"/>
    <w:rsid w:val="00832A0F"/>
    <w:rsid w:val="0084121D"/>
    <w:rsid w:val="008E2655"/>
    <w:rsid w:val="008F3AB1"/>
    <w:rsid w:val="0090186C"/>
    <w:rsid w:val="00906FA1"/>
    <w:rsid w:val="00915D39"/>
    <w:rsid w:val="00923C08"/>
    <w:rsid w:val="00947C32"/>
    <w:rsid w:val="009B47DE"/>
    <w:rsid w:val="009D1A30"/>
    <w:rsid w:val="009E3152"/>
    <w:rsid w:val="009E3407"/>
    <w:rsid w:val="00A059A1"/>
    <w:rsid w:val="00A11663"/>
    <w:rsid w:val="00A11AA1"/>
    <w:rsid w:val="00A15569"/>
    <w:rsid w:val="00A3299E"/>
    <w:rsid w:val="00A41121"/>
    <w:rsid w:val="00A51C23"/>
    <w:rsid w:val="00A823F8"/>
    <w:rsid w:val="00AC22AE"/>
    <w:rsid w:val="00AC3419"/>
    <w:rsid w:val="00AE6C4E"/>
    <w:rsid w:val="00AF36B4"/>
    <w:rsid w:val="00AF6E63"/>
    <w:rsid w:val="00B6730B"/>
    <w:rsid w:val="00B90D11"/>
    <w:rsid w:val="00B9137C"/>
    <w:rsid w:val="00B950AB"/>
    <w:rsid w:val="00BB61B6"/>
    <w:rsid w:val="00BC233A"/>
    <w:rsid w:val="00BD4D0F"/>
    <w:rsid w:val="00BF7BDB"/>
    <w:rsid w:val="00C13691"/>
    <w:rsid w:val="00C14637"/>
    <w:rsid w:val="00C47186"/>
    <w:rsid w:val="00C76A66"/>
    <w:rsid w:val="00C80E82"/>
    <w:rsid w:val="00CB781A"/>
    <w:rsid w:val="00CD5091"/>
    <w:rsid w:val="00CE1271"/>
    <w:rsid w:val="00D01967"/>
    <w:rsid w:val="00D4059C"/>
    <w:rsid w:val="00D42972"/>
    <w:rsid w:val="00D45861"/>
    <w:rsid w:val="00D46F41"/>
    <w:rsid w:val="00D613FF"/>
    <w:rsid w:val="00D65BA4"/>
    <w:rsid w:val="00D8189C"/>
    <w:rsid w:val="00D96175"/>
    <w:rsid w:val="00DB744D"/>
    <w:rsid w:val="00DD62E6"/>
    <w:rsid w:val="00DF73E8"/>
    <w:rsid w:val="00E301F1"/>
    <w:rsid w:val="00E36609"/>
    <w:rsid w:val="00E558AE"/>
    <w:rsid w:val="00E71A70"/>
    <w:rsid w:val="00E95F43"/>
    <w:rsid w:val="00E976BD"/>
    <w:rsid w:val="00EC496E"/>
    <w:rsid w:val="00EE084C"/>
    <w:rsid w:val="00EE31CA"/>
    <w:rsid w:val="00F0268C"/>
    <w:rsid w:val="00F0742F"/>
    <w:rsid w:val="00F21733"/>
    <w:rsid w:val="00F229F1"/>
    <w:rsid w:val="00F450F3"/>
    <w:rsid w:val="00F670DD"/>
    <w:rsid w:val="00FA5504"/>
    <w:rsid w:val="00FB78EE"/>
    <w:rsid w:val="00FE6306"/>
    <w:rsid w:val="00FF3486"/>
    <w:rsid w:val="00FF7741"/>
    <w:rsid w:val="11405265"/>
    <w:rsid w:val="11B6439C"/>
    <w:rsid w:val="12F56C57"/>
    <w:rsid w:val="15B50403"/>
    <w:rsid w:val="19A44770"/>
    <w:rsid w:val="1E581FEF"/>
    <w:rsid w:val="1FE74C8E"/>
    <w:rsid w:val="21B374E9"/>
    <w:rsid w:val="22091C70"/>
    <w:rsid w:val="22BD192C"/>
    <w:rsid w:val="22F05680"/>
    <w:rsid w:val="23165EFA"/>
    <w:rsid w:val="23CC107D"/>
    <w:rsid w:val="258465FA"/>
    <w:rsid w:val="2916738A"/>
    <w:rsid w:val="2DB497F8"/>
    <w:rsid w:val="3085722D"/>
    <w:rsid w:val="31CD42F6"/>
    <w:rsid w:val="342F295E"/>
    <w:rsid w:val="3E6B6375"/>
    <w:rsid w:val="3EE95ACB"/>
    <w:rsid w:val="3EF00E78"/>
    <w:rsid w:val="3F7F54F7"/>
    <w:rsid w:val="40401FE3"/>
    <w:rsid w:val="417A619E"/>
    <w:rsid w:val="49307E26"/>
    <w:rsid w:val="5150387B"/>
    <w:rsid w:val="521827E2"/>
    <w:rsid w:val="52932FE4"/>
    <w:rsid w:val="54CA7B2B"/>
    <w:rsid w:val="63D972B3"/>
    <w:rsid w:val="65647A2C"/>
    <w:rsid w:val="65C11563"/>
    <w:rsid w:val="65DE0270"/>
    <w:rsid w:val="66E74518"/>
    <w:rsid w:val="6E7307EE"/>
    <w:rsid w:val="6FFF471A"/>
    <w:rsid w:val="7008684D"/>
    <w:rsid w:val="738726DB"/>
    <w:rsid w:val="74E044A9"/>
    <w:rsid w:val="75EC2506"/>
    <w:rsid w:val="76830898"/>
    <w:rsid w:val="77D11EA6"/>
    <w:rsid w:val="7A4E592F"/>
    <w:rsid w:val="7CA750A8"/>
    <w:rsid w:val="7D6D9934"/>
    <w:rsid w:val="7E78641A"/>
    <w:rsid w:val="B7FF91EE"/>
    <w:rsid w:val="BAF79ADF"/>
    <w:rsid w:val="F7BE7F37"/>
    <w:rsid w:val="FC57C8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autoRedefine/>
    <w:qFormat/>
    <w:uiPriority w:val="0"/>
    <w:pPr>
      <w:jc w:val="left"/>
    </w:pPr>
  </w:style>
  <w:style w:type="paragraph" w:styleId="3">
    <w:name w:val="Balloon Text"/>
    <w:basedOn w:val="1"/>
    <w:link w:val="16"/>
    <w:autoRedefine/>
    <w:qFormat/>
    <w:uiPriority w:val="0"/>
    <w:rPr>
      <w:sz w:val="18"/>
      <w:szCs w:val="18"/>
    </w:rPr>
  </w:style>
  <w:style w:type="paragraph" w:styleId="4">
    <w:name w:val="footer"/>
    <w:basedOn w:val="1"/>
    <w:link w:val="14"/>
    <w:autoRedefine/>
    <w:qFormat/>
    <w:uiPriority w:val="99"/>
    <w:pPr>
      <w:tabs>
        <w:tab w:val="center" w:pos="4153"/>
        <w:tab w:val="right" w:pos="8306"/>
      </w:tabs>
      <w:snapToGrid w:val="0"/>
      <w:jc w:val="left"/>
    </w:pPr>
    <w:rPr>
      <w:sz w:val="18"/>
      <w:szCs w:val="18"/>
    </w:rPr>
  </w:style>
  <w:style w:type="paragraph" w:styleId="5">
    <w:name w:val="header"/>
    <w:basedOn w:val="1"/>
    <w:link w:val="13"/>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autoRedefine/>
    <w:qFormat/>
    <w:uiPriority w:val="10"/>
    <w:pPr>
      <w:spacing w:before="240" w:after="60"/>
      <w:jc w:val="center"/>
      <w:outlineLvl w:val="0"/>
    </w:pPr>
    <w:rPr>
      <w:rFonts w:eastAsia="宋体" w:asciiTheme="majorHAnsi" w:hAnsiTheme="majorHAnsi" w:cstheme="majorBidi"/>
      <w:b/>
      <w:bCs/>
      <w:sz w:val="30"/>
      <w:szCs w:val="32"/>
    </w:rPr>
  </w:style>
  <w:style w:type="paragraph" w:styleId="7">
    <w:name w:val="annotation subject"/>
    <w:basedOn w:val="2"/>
    <w:next w:val="2"/>
    <w:link w:val="18"/>
    <w:autoRedefine/>
    <w:qFormat/>
    <w:uiPriority w:val="0"/>
    <w:rPr>
      <w:b/>
      <w:bCs/>
    </w:rPr>
  </w:style>
  <w:style w:type="character" w:styleId="10">
    <w:name w:val="Hyperlink"/>
    <w:basedOn w:val="9"/>
    <w:autoRedefine/>
    <w:unhideWhenUsed/>
    <w:qFormat/>
    <w:uiPriority w:val="0"/>
    <w:rPr>
      <w:color w:val="0563C1" w:themeColor="hyperlink"/>
      <w:u w:val="single"/>
      <w14:textFill>
        <w14:solidFill>
          <w14:schemeClr w14:val="hlink"/>
        </w14:solidFill>
      </w14:textFill>
    </w:rPr>
  </w:style>
  <w:style w:type="character" w:styleId="11">
    <w:name w:val="annotation reference"/>
    <w:basedOn w:val="9"/>
    <w:autoRedefine/>
    <w:qFormat/>
    <w:uiPriority w:val="0"/>
    <w:rPr>
      <w:sz w:val="21"/>
      <w:szCs w:val="21"/>
    </w:rPr>
  </w:style>
  <w:style w:type="paragraph" w:customStyle="1" w:styleId="12">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13">
    <w:name w:val="页眉 字符"/>
    <w:basedOn w:val="9"/>
    <w:link w:val="5"/>
    <w:autoRedefine/>
    <w:qFormat/>
    <w:uiPriority w:val="0"/>
    <w:rPr>
      <w:kern w:val="2"/>
      <w:sz w:val="18"/>
      <w:szCs w:val="18"/>
    </w:rPr>
  </w:style>
  <w:style w:type="character" w:customStyle="1" w:styleId="14">
    <w:name w:val="页脚 字符"/>
    <w:basedOn w:val="9"/>
    <w:link w:val="4"/>
    <w:autoRedefine/>
    <w:qFormat/>
    <w:uiPriority w:val="99"/>
    <w:rPr>
      <w:kern w:val="2"/>
      <w:sz w:val="18"/>
      <w:szCs w:val="18"/>
    </w:rPr>
  </w:style>
  <w:style w:type="paragraph" w:styleId="15">
    <w:name w:val="List Paragraph"/>
    <w:basedOn w:val="1"/>
    <w:autoRedefine/>
    <w:qFormat/>
    <w:uiPriority w:val="34"/>
    <w:pPr>
      <w:ind w:firstLine="420" w:firstLineChars="200"/>
    </w:pPr>
    <w:rPr>
      <w:rFonts w:ascii="Calibri" w:hAnsi="Calibri" w:eastAsia="宋体" w:cs="Times New Roman"/>
    </w:rPr>
  </w:style>
  <w:style w:type="character" w:customStyle="1" w:styleId="16">
    <w:name w:val="批注框文本 字符"/>
    <w:basedOn w:val="9"/>
    <w:link w:val="3"/>
    <w:autoRedefine/>
    <w:qFormat/>
    <w:uiPriority w:val="0"/>
    <w:rPr>
      <w:kern w:val="2"/>
      <w:sz w:val="18"/>
      <w:szCs w:val="18"/>
    </w:rPr>
  </w:style>
  <w:style w:type="character" w:customStyle="1" w:styleId="17">
    <w:name w:val="批注文字 字符"/>
    <w:basedOn w:val="9"/>
    <w:link w:val="2"/>
    <w:autoRedefine/>
    <w:qFormat/>
    <w:uiPriority w:val="0"/>
    <w:rPr>
      <w:kern w:val="2"/>
      <w:sz w:val="21"/>
      <w:szCs w:val="22"/>
    </w:rPr>
  </w:style>
  <w:style w:type="character" w:customStyle="1" w:styleId="18">
    <w:name w:val="批注主题 字符"/>
    <w:basedOn w:val="17"/>
    <w:link w:val="7"/>
    <w:autoRedefine/>
    <w:qFormat/>
    <w:uiPriority w:val="0"/>
    <w:rPr>
      <w:b/>
      <w:bCs/>
      <w:kern w:val="2"/>
      <w:sz w:val="21"/>
      <w:szCs w:val="22"/>
    </w:rPr>
  </w:style>
  <w:style w:type="paragraph" w:customStyle="1" w:styleId="19">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0">
    <w:name w:val="修订2"/>
    <w:autoRedefine/>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21">
    <w:name w:val="修订3"/>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22">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1429</Words>
  <Characters>1484</Characters>
  <Lines>11</Lines>
  <Paragraphs>3</Paragraphs>
  <TotalTime>1</TotalTime>
  <ScaleCrop>false</ScaleCrop>
  <LinksUpToDate>false</LinksUpToDate>
  <CharactersWithSpaces>1503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2024-05-23T08:14:00Z</dcterms:created>
  <dc:creator>BJB-ZB-03</dc:creator>
  <cp:lastModifiedBy>雯亦</cp:lastModifiedBy>
  <dcterms:modified xsi:type="dcterms:W3CDTF">2025-12-08T13:47:21Z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2F57E0038A2743C19FCA376576E38244_13</vt:lpwstr>
  </property>
  <property fmtid="{D5CDD505-2E9C-101B-9397-08002B2CF9AE}" pid="4" name="KSOTemplateDocerSaveRecord">
    <vt:lpwstr>eyJoZGlkIjoiZTQzZmRmZDMxMjkwMDE2NTk0ZWQ1ZWYwMzRmYjVhNmUiLCJ1c2VySWQiOiI2NDQwNzQxNTQifQ==</vt:lpwstr>
  </property>
</Properties>
</file>