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3DB7E">
      <w:pPr>
        <w:adjustRightInd w:val="0"/>
        <w:snapToGrid w:val="0"/>
        <w:spacing w:line="560" w:lineRule="exact"/>
        <w:ind w:firstLine="420"/>
        <w:jc w:val="left"/>
        <w:rPr>
          <w:rFonts w:hint="eastAsia" w:ascii="宋体" w:hAnsi="宋体"/>
          <w:b/>
          <w:sz w:val="24"/>
          <w:szCs w:val="24"/>
        </w:rPr>
      </w:pPr>
      <w:r>
        <w:rPr>
          <w:rFonts w:hint="eastAsia" w:ascii="宋体" w:hAnsi="宋体"/>
          <w:b/>
          <w:sz w:val="24"/>
          <w:szCs w:val="24"/>
        </w:rPr>
        <w:t>证券代码：</w:t>
      </w:r>
      <w:r>
        <w:rPr>
          <w:rFonts w:ascii="宋体" w:hAnsi="宋体"/>
          <w:b/>
          <w:sz w:val="24"/>
          <w:szCs w:val="24"/>
        </w:rPr>
        <w:t xml:space="preserve">603191        </w:t>
      </w:r>
      <w:r>
        <w:rPr>
          <w:rFonts w:hint="eastAsia" w:ascii="宋体" w:hAnsi="宋体"/>
          <w:b/>
          <w:sz w:val="24"/>
          <w:szCs w:val="24"/>
        </w:rPr>
        <w:t xml:space="preserve">证券简称：望变电气 </w:t>
      </w:r>
      <w:r>
        <w:rPr>
          <w:rFonts w:ascii="宋体" w:hAnsi="宋体"/>
          <w:b/>
          <w:sz w:val="24"/>
          <w:szCs w:val="24"/>
        </w:rPr>
        <w:t xml:space="preserve">       </w:t>
      </w:r>
      <w:r>
        <w:rPr>
          <w:rFonts w:hint="eastAsia" w:ascii="宋体" w:hAnsi="宋体"/>
          <w:b/>
          <w:sz w:val="24"/>
          <w:szCs w:val="24"/>
        </w:rPr>
        <w:t>公告编号：2</w:t>
      </w:r>
      <w:r>
        <w:rPr>
          <w:rFonts w:ascii="宋体" w:hAnsi="宋体"/>
          <w:b/>
          <w:sz w:val="24"/>
          <w:szCs w:val="24"/>
        </w:rPr>
        <w:t>02</w:t>
      </w:r>
      <w:r>
        <w:rPr>
          <w:rFonts w:hint="eastAsia" w:ascii="宋体" w:hAnsi="宋体"/>
          <w:b/>
          <w:sz w:val="24"/>
          <w:szCs w:val="24"/>
        </w:rPr>
        <w:t>5-062</w:t>
      </w:r>
    </w:p>
    <w:p w14:paraId="3CCB20DF">
      <w:pPr>
        <w:adjustRightInd w:val="0"/>
        <w:snapToGrid w:val="0"/>
        <w:spacing w:line="560" w:lineRule="exact"/>
        <w:jc w:val="left"/>
        <w:rPr>
          <w:rFonts w:hint="eastAsia" w:ascii="仿宋" w:hAnsi="仿宋" w:eastAsia="仿宋_GB2312"/>
          <w:sz w:val="30"/>
          <w:szCs w:val="30"/>
        </w:rPr>
      </w:pPr>
    </w:p>
    <w:p w14:paraId="44EEC80E">
      <w:pPr>
        <w:adjustRightInd w:val="0"/>
        <w:snapToGrid w:val="0"/>
        <w:spacing w:before="156" w:beforeLines="50" w:line="560" w:lineRule="exact"/>
        <w:jc w:val="center"/>
        <w:rPr>
          <w:rFonts w:hint="eastAsia" w:ascii="宋体" w:hAnsi="宋体" w:cs="仿宋_GB2312"/>
          <w:b/>
          <w:bCs/>
          <w:color w:val="FF0000"/>
          <w:sz w:val="36"/>
          <w:szCs w:val="36"/>
        </w:rPr>
      </w:pPr>
      <w:r>
        <w:rPr>
          <w:rFonts w:hint="eastAsia" w:ascii="宋体" w:hAnsi="宋体" w:cs="仿宋_GB2312"/>
          <w:b/>
          <w:bCs/>
          <w:color w:val="FF0000"/>
          <w:sz w:val="36"/>
          <w:szCs w:val="36"/>
        </w:rPr>
        <w:t>重庆望变电气（集团）股份有限公司</w:t>
      </w:r>
    </w:p>
    <w:p w14:paraId="780A05D8">
      <w:pPr>
        <w:adjustRightInd w:val="0"/>
        <w:snapToGrid w:val="0"/>
        <w:spacing w:before="156" w:beforeLines="50" w:line="560" w:lineRule="exact"/>
        <w:jc w:val="center"/>
        <w:rPr>
          <w:rFonts w:hint="eastAsia" w:ascii="宋体" w:hAnsi="宋体" w:cs="仿宋_GB2312"/>
          <w:b/>
          <w:bCs/>
          <w:color w:val="FF0000"/>
          <w:sz w:val="36"/>
          <w:szCs w:val="36"/>
        </w:rPr>
      </w:pPr>
      <w:r>
        <w:rPr>
          <w:rFonts w:hint="eastAsia" w:ascii="宋体" w:hAnsi="宋体" w:cs="仿宋_GB2312"/>
          <w:b/>
          <w:bCs/>
          <w:color w:val="FF0000"/>
          <w:sz w:val="36"/>
          <w:szCs w:val="36"/>
        </w:rPr>
        <w:t>关于预计2026年度对子公司新增</w:t>
      </w:r>
      <w:bookmarkStart w:id="0" w:name="OLE_LINK1"/>
      <w:r>
        <w:rPr>
          <w:rFonts w:hint="eastAsia" w:ascii="宋体" w:hAnsi="宋体" w:cs="仿宋_GB2312"/>
          <w:b/>
          <w:bCs/>
          <w:color w:val="FF0000"/>
          <w:sz w:val="36"/>
          <w:szCs w:val="36"/>
        </w:rPr>
        <w:t>担保</w:t>
      </w:r>
      <w:bookmarkEnd w:id="0"/>
      <w:r>
        <w:rPr>
          <w:rFonts w:hint="eastAsia" w:ascii="宋体" w:hAnsi="宋体" w:cs="仿宋_GB2312"/>
          <w:b/>
          <w:bCs/>
          <w:color w:val="FF0000"/>
          <w:sz w:val="36"/>
          <w:szCs w:val="36"/>
        </w:rPr>
        <w:t>额度的公告</w:t>
      </w:r>
    </w:p>
    <w:p w14:paraId="214FEFBE">
      <w:pPr>
        <w:adjustRightInd w:val="0"/>
        <w:snapToGrid w:val="0"/>
        <w:spacing w:before="156" w:beforeLines="50" w:line="560" w:lineRule="exact"/>
        <w:jc w:val="center"/>
        <w:rPr>
          <w:rFonts w:hint="eastAsia" w:ascii="仿宋_GB2312" w:hAnsi="仿宋_GB2312" w:eastAsia="仿宋_GB2312" w:cs="仿宋_GB2312"/>
          <w:b/>
          <w:bCs/>
          <w:sz w:val="30"/>
          <w:szCs w:val="30"/>
        </w:rPr>
      </w:pPr>
    </w:p>
    <w:p w14:paraId="514E957D">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hint="eastAsia" w:ascii="宋体" w:hAnsi="宋体"/>
          <w:sz w:val="24"/>
          <w:szCs w:val="24"/>
        </w:rPr>
      </w:pPr>
      <w:r>
        <w:rPr>
          <w:rFonts w:hint="eastAsia" w:ascii="仿宋" w:hAnsi="仿宋" w:eastAsia="仿宋"/>
          <w:sz w:val="24"/>
          <w:szCs w:val="24"/>
        </w:rPr>
        <w:t>本公司董事会及全体董事保证本公告内容不存在任何虚假记载、误导性陈述或者重大遗漏，并对其内容的真实性、准确性和完整性承担法律责任</w:t>
      </w:r>
      <w:r>
        <w:rPr>
          <w:rFonts w:hint="eastAsia" w:ascii="宋体" w:hAnsi="宋体"/>
          <w:sz w:val="24"/>
          <w:szCs w:val="24"/>
        </w:rPr>
        <w:t>。</w:t>
      </w:r>
    </w:p>
    <w:p w14:paraId="3D697BAC">
      <w:pPr>
        <w:adjustRightInd w:val="0"/>
        <w:snapToGrid w:val="0"/>
        <w:spacing w:line="560" w:lineRule="exact"/>
        <w:rPr>
          <w:rFonts w:hint="eastAsia" w:ascii="宋体" w:hAnsi="宋体" w:cs="宋体"/>
          <w:sz w:val="24"/>
          <w:szCs w:val="24"/>
        </w:rPr>
      </w:pPr>
    </w:p>
    <w:p w14:paraId="0A667766">
      <w:pPr>
        <w:adjustRightInd w:val="0"/>
        <w:snapToGrid w:val="0"/>
        <w:spacing w:line="560" w:lineRule="exact"/>
        <w:rPr>
          <w:rFonts w:hint="eastAsia" w:ascii="宋体" w:hAnsi="宋体" w:cs="宋体"/>
          <w:b/>
          <w:sz w:val="24"/>
          <w:szCs w:val="24"/>
        </w:rPr>
      </w:pPr>
      <w:r>
        <w:rPr>
          <w:rFonts w:hint="eastAsia" w:ascii="宋体" w:hAnsi="宋体" w:cs="宋体"/>
          <w:b/>
          <w:sz w:val="24"/>
          <w:szCs w:val="24"/>
        </w:rPr>
        <w:t>重要内容提示：</w:t>
      </w:r>
    </w:p>
    <w:p w14:paraId="26F7A0CC">
      <w:pPr>
        <w:pStyle w:val="25"/>
        <w:rPr>
          <w:rFonts w:hint="eastAsia" w:ascii="宋体" w:hAnsi="宋体" w:cs="宋体"/>
          <w:sz w:val="24"/>
          <w:szCs w:val="24"/>
        </w:rPr>
      </w:pPr>
      <w:r>
        <w:rPr>
          <w:rFonts w:hint="eastAsia" w:ascii="宋体" w:hAnsi="宋体" w:cs="宋体"/>
          <w:sz w:val="24"/>
          <w:szCs w:val="24"/>
        </w:rPr>
        <w:t>被担保人：全资子公司云南变压器电气股份有限公司（以下简称“云变电气”）、望来充（重庆）科技有限责任公司及其子公司（以下简称“望来充”）、重庆惠泽电器有限公司（以下简称“惠泽电器”）及黔南望江变压器有限公司（以下简称“黔南望江”）</w:t>
      </w:r>
    </w:p>
    <w:p w14:paraId="2BC54D0E">
      <w:pPr>
        <w:pStyle w:val="25"/>
        <w:rPr>
          <w:rFonts w:hint="eastAsia" w:ascii="宋体" w:hAnsi="宋体" w:cs="宋体"/>
          <w:sz w:val="24"/>
          <w:szCs w:val="24"/>
        </w:rPr>
      </w:pPr>
      <w:r>
        <w:rPr>
          <w:rFonts w:hint="eastAsia" w:ascii="宋体" w:hAnsi="宋体" w:cs="宋体"/>
          <w:sz w:val="24"/>
          <w:szCs w:val="24"/>
        </w:rPr>
        <w:t>本次担保金额：公司同意2026年度为云变电气向银行等金融机构申请综合授信或借款提供新增额度不超过18亿元人民币（或等值外币）的担保；同意2026年度为望来充向银行等金融机构申请综合授信或借款提供新增额度不超过6亿元人民币（或等值外币）的担保；同意2026年度惠泽电器向银行等金融机构申请综合授信或借款提供新增额度不超过4亿元人民币（或等值外币）的担保；同意2026年度为黔南望江向银行等金融机构申请综合授信或借款提供新增额度不超过2亿元人民币（或等值外币）的担保；截至2025年11月30日公司已实际为云变电气提供的担保余额为</w:t>
      </w:r>
      <w:r>
        <w:rPr>
          <w:rFonts w:ascii="宋体" w:hAnsi="宋体" w:cs="宋体"/>
          <w:sz w:val="24"/>
          <w:szCs w:val="24"/>
        </w:rPr>
        <w:t>59,078.21</w:t>
      </w:r>
      <w:r>
        <w:rPr>
          <w:rFonts w:hint="eastAsia" w:ascii="宋体" w:hAnsi="宋体" w:cs="宋体"/>
          <w:sz w:val="24"/>
          <w:szCs w:val="24"/>
        </w:rPr>
        <w:t>万元；为望来充提供的担保余额为0万元；为惠泽电器提供的担保余额为</w:t>
      </w:r>
      <w:r>
        <w:rPr>
          <w:rFonts w:ascii="宋体" w:hAnsi="宋体" w:cs="宋体"/>
          <w:sz w:val="24"/>
          <w:szCs w:val="24"/>
        </w:rPr>
        <w:t>1,000.19</w:t>
      </w:r>
      <w:r>
        <w:rPr>
          <w:rFonts w:hint="eastAsia" w:ascii="宋体" w:hAnsi="宋体" w:cs="宋体"/>
          <w:sz w:val="24"/>
          <w:szCs w:val="24"/>
        </w:rPr>
        <w:t>万元；为黔南望江提供的担保余额为人民币</w:t>
      </w:r>
      <w:r>
        <w:rPr>
          <w:rFonts w:ascii="宋体" w:hAnsi="宋体" w:cs="宋体"/>
          <w:sz w:val="24"/>
          <w:szCs w:val="24"/>
          <w:lang w:bidi="ar"/>
        </w:rPr>
        <w:t>4,094.19</w:t>
      </w:r>
      <w:r>
        <w:rPr>
          <w:rFonts w:hint="eastAsia" w:ascii="宋体" w:hAnsi="宋体" w:cs="宋体"/>
          <w:sz w:val="24"/>
          <w:szCs w:val="24"/>
        </w:rPr>
        <w:t>万元。</w:t>
      </w:r>
    </w:p>
    <w:p w14:paraId="2CAE4DD6">
      <w:pPr>
        <w:pStyle w:val="25"/>
        <w:rPr>
          <w:rFonts w:hint="eastAsia" w:ascii="宋体" w:hAnsi="宋体" w:cs="宋体"/>
          <w:sz w:val="24"/>
          <w:szCs w:val="24"/>
        </w:rPr>
      </w:pPr>
      <w:r>
        <w:rPr>
          <w:rFonts w:hint="eastAsia" w:ascii="宋体" w:hAnsi="宋体" w:cs="宋体"/>
          <w:sz w:val="24"/>
          <w:szCs w:val="24"/>
        </w:rPr>
        <w:t>本次担保有无反担保：无</w:t>
      </w:r>
    </w:p>
    <w:p w14:paraId="1B0EF3D1">
      <w:pPr>
        <w:pStyle w:val="25"/>
        <w:rPr>
          <w:rFonts w:hint="eastAsia" w:ascii="宋体" w:hAnsi="宋体" w:cs="宋体"/>
          <w:sz w:val="24"/>
          <w:szCs w:val="24"/>
        </w:rPr>
      </w:pPr>
      <w:r>
        <w:rPr>
          <w:rFonts w:hint="eastAsia" w:ascii="宋体" w:hAnsi="宋体" w:cs="宋体"/>
          <w:sz w:val="24"/>
          <w:szCs w:val="24"/>
        </w:rPr>
        <w:t>公司无逾期对外担保的情况：无</w:t>
      </w:r>
    </w:p>
    <w:p w14:paraId="74F4DF6A">
      <w:pPr>
        <w:pStyle w:val="25"/>
        <w:rPr>
          <w:rFonts w:hint="eastAsia" w:ascii="宋体" w:hAnsi="宋体" w:cs="宋体"/>
          <w:sz w:val="24"/>
          <w:szCs w:val="24"/>
        </w:rPr>
      </w:pPr>
      <w:r>
        <w:rPr>
          <w:rFonts w:hint="eastAsia" w:ascii="宋体" w:hAnsi="宋体" w:cs="宋体"/>
          <w:sz w:val="24"/>
          <w:szCs w:val="24"/>
        </w:rPr>
        <w:t>特别风险提示：本次被担保对象黔南望江资产负债率超过70%（未经审计），请广大投资者关注担保风险。</w:t>
      </w:r>
    </w:p>
    <w:p w14:paraId="72134DFA">
      <w:pPr>
        <w:autoSpaceDE w:val="0"/>
        <w:autoSpaceDN w:val="0"/>
        <w:adjustRightInd w:val="0"/>
        <w:spacing w:line="560" w:lineRule="exact"/>
        <w:rPr>
          <w:rFonts w:hint="eastAsia" w:ascii="宋体" w:hAnsi="宋体" w:cs="宋体"/>
          <w:b/>
          <w:sz w:val="24"/>
          <w:szCs w:val="24"/>
        </w:rPr>
      </w:pPr>
      <w:r>
        <w:rPr>
          <w:rFonts w:hint="eastAsia" w:ascii="宋体" w:hAnsi="宋体" w:cs="宋体"/>
          <w:b/>
          <w:sz w:val="24"/>
          <w:szCs w:val="24"/>
        </w:rPr>
        <w:t>一、担保情况概述</w:t>
      </w:r>
    </w:p>
    <w:p w14:paraId="3910F1E1">
      <w:pPr>
        <w:autoSpaceDE w:val="0"/>
        <w:autoSpaceDN w:val="0"/>
        <w:adjustRightInd w:val="0"/>
        <w:spacing w:line="560" w:lineRule="exact"/>
        <w:rPr>
          <w:rFonts w:hint="eastAsia" w:ascii="宋体" w:hAnsi="宋体" w:cs="宋体"/>
          <w:kern w:val="0"/>
          <w:sz w:val="24"/>
          <w:szCs w:val="24"/>
        </w:rPr>
      </w:pPr>
      <w:r>
        <w:rPr>
          <w:rFonts w:hint="eastAsia" w:ascii="宋体" w:hAnsi="宋体" w:cs="宋体"/>
          <w:kern w:val="0"/>
          <w:sz w:val="24"/>
          <w:szCs w:val="24"/>
        </w:rPr>
        <w:t>（一）本次担保基本情况</w:t>
      </w:r>
    </w:p>
    <w:p w14:paraId="1BB9B5F7">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根据《上海证券交易所股票上市规则》等相关法律法规要求，为满足公司日常生产经营及业务发展需要，预计2026年度为子公司向银行等金融机构申请综合授信或借款提供新增额度的担保如下，下述担保额度有效期自2026年1月1日至2026年12月31日。</w:t>
      </w:r>
    </w:p>
    <w:p w14:paraId="4B1A751A">
      <w:pPr>
        <w:ind w:firstLine="4410" w:firstLineChars="2100"/>
        <w:jc w:val="right"/>
        <w:rPr>
          <w:rFonts w:hint="eastAsia" w:ascii="仿宋" w:hAnsi="仿宋" w:eastAsia="仿宋" w:cstheme="minorBidi"/>
          <w:sz w:val="24"/>
          <w:szCs w:val="28"/>
        </w:rPr>
      </w:pPr>
      <w:r>
        <w:rPr>
          <w:rFonts w:hint="eastAsia" w:ascii="仿宋" w:hAnsi="仿宋" w:eastAsia="仿宋" w:cstheme="minorBidi"/>
          <w:szCs w:val="21"/>
        </w:rPr>
        <w:t>单位：万元  币种：人民币</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9"/>
        <w:gridCol w:w="2783"/>
      </w:tblGrid>
      <w:tr w14:paraId="68AD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7" w:type="pct"/>
            <w:vAlign w:val="center"/>
          </w:tcPr>
          <w:p w14:paraId="19FE742F">
            <w:pPr>
              <w:adjustRightInd w:val="0"/>
              <w:snapToGrid w:val="0"/>
              <w:jc w:val="center"/>
              <w:rPr>
                <w:rFonts w:hint="eastAsia" w:ascii="宋体" w:hAnsi="宋体" w:cs="宋体"/>
                <w:b/>
                <w:bCs/>
                <w:sz w:val="18"/>
                <w:szCs w:val="18"/>
              </w:rPr>
            </w:pPr>
            <w:r>
              <w:rPr>
                <w:rFonts w:hint="eastAsia" w:ascii="宋体" w:hAnsi="宋体" w:cs="宋体"/>
                <w:b/>
                <w:bCs/>
                <w:sz w:val="18"/>
                <w:szCs w:val="18"/>
              </w:rPr>
              <w:t>公 司 名 称</w:t>
            </w:r>
          </w:p>
        </w:tc>
        <w:tc>
          <w:tcPr>
            <w:tcW w:w="1633" w:type="pct"/>
            <w:vAlign w:val="center"/>
          </w:tcPr>
          <w:p w14:paraId="70C5AE42">
            <w:pPr>
              <w:adjustRightInd w:val="0"/>
              <w:snapToGrid w:val="0"/>
              <w:jc w:val="center"/>
              <w:rPr>
                <w:rFonts w:hint="eastAsia" w:ascii="宋体" w:hAnsi="宋体" w:cs="宋体"/>
                <w:b/>
                <w:bCs/>
                <w:sz w:val="18"/>
                <w:szCs w:val="18"/>
              </w:rPr>
            </w:pPr>
            <w:r>
              <w:rPr>
                <w:rFonts w:hint="eastAsia" w:ascii="宋体" w:hAnsi="宋体" w:cs="宋体"/>
                <w:b/>
                <w:bCs/>
                <w:sz w:val="18"/>
                <w:szCs w:val="18"/>
              </w:rPr>
              <w:t>新增担保额度</w:t>
            </w:r>
          </w:p>
        </w:tc>
      </w:tr>
      <w:tr w14:paraId="4B49D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7" w:type="pct"/>
            <w:vAlign w:val="center"/>
          </w:tcPr>
          <w:p w14:paraId="47976E23">
            <w:pPr>
              <w:adjustRightInd w:val="0"/>
              <w:snapToGrid w:val="0"/>
              <w:rPr>
                <w:rFonts w:hint="eastAsia" w:ascii="宋体" w:hAnsi="宋体" w:cs="宋体"/>
                <w:sz w:val="18"/>
                <w:szCs w:val="18"/>
              </w:rPr>
            </w:pPr>
            <w:r>
              <w:rPr>
                <w:rFonts w:hint="eastAsia" w:ascii="宋体" w:hAnsi="宋体" w:cs="宋体"/>
                <w:sz w:val="18"/>
                <w:szCs w:val="18"/>
              </w:rPr>
              <w:t>云南变压器电气股份有限公司</w:t>
            </w:r>
          </w:p>
        </w:tc>
        <w:tc>
          <w:tcPr>
            <w:tcW w:w="1633" w:type="pct"/>
            <w:vAlign w:val="center"/>
          </w:tcPr>
          <w:p w14:paraId="3A02C585">
            <w:pPr>
              <w:adjustRightInd w:val="0"/>
              <w:snapToGrid w:val="0"/>
              <w:jc w:val="right"/>
              <w:rPr>
                <w:rFonts w:hint="eastAsia" w:ascii="宋体" w:hAnsi="宋体" w:cs="宋体"/>
                <w:sz w:val="18"/>
                <w:szCs w:val="18"/>
              </w:rPr>
            </w:pPr>
            <w:r>
              <w:rPr>
                <w:rFonts w:hint="eastAsia" w:ascii="宋体" w:hAnsi="宋体" w:cs="宋体"/>
                <w:sz w:val="18"/>
                <w:szCs w:val="18"/>
              </w:rPr>
              <w:t>180,000</w:t>
            </w:r>
          </w:p>
        </w:tc>
      </w:tr>
      <w:tr w14:paraId="68D1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7" w:type="pct"/>
            <w:vAlign w:val="center"/>
          </w:tcPr>
          <w:p w14:paraId="504F04E6">
            <w:pPr>
              <w:adjustRightInd w:val="0"/>
              <w:snapToGrid w:val="0"/>
              <w:rPr>
                <w:rFonts w:hint="eastAsia" w:ascii="宋体" w:hAnsi="宋体" w:cs="宋体"/>
                <w:sz w:val="18"/>
                <w:szCs w:val="18"/>
              </w:rPr>
            </w:pPr>
            <w:r>
              <w:rPr>
                <w:rFonts w:hint="eastAsia" w:ascii="宋体" w:hAnsi="宋体" w:cs="宋体"/>
                <w:sz w:val="18"/>
                <w:szCs w:val="18"/>
              </w:rPr>
              <w:t>望来充（重庆）科技有限责任公司及子公司</w:t>
            </w:r>
          </w:p>
        </w:tc>
        <w:tc>
          <w:tcPr>
            <w:tcW w:w="1633" w:type="pct"/>
            <w:vAlign w:val="center"/>
          </w:tcPr>
          <w:p w14:paraId="641945AB">
            <w:pPr>
              <w:adjustRightInd w:val="0"/>
              <w:snapToGrid w:val="0"/>
              <w:jc w:val="right"/>
              <w:rPr>
                <w:rFonts w:hint="eastAsia" w:ascii="宋体" w:hAnsi="宋体" w:cs="宋体"/>
                <w:sz w:val="18"/>
                <w:szCs w:val="18"/>
              </w:rPr>
            </w:pPr>
            <w:r>
              <w:rPr>
                <w:rFonts w:hint="eastAsia" w:ascii="宋体" w:hAnsi="宋体" w:cs="宋体"/>
                <w:sz w:val="18"/>
                <w:szCs w:val="18"/>
              </w:rPr>
              <w:t>60,000</w:t>
            </w:r>
          </w:p>
        </w:tc>
      </w:tr>
      <w:tr w14:paraId="02CE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7" w:type="pct"/>
            <w:vAlign w:val="center"/>
          </w:tcPr>
          <w:p w14:paraId="461BB6DF">
            <w:pPr>
              <w:adjustRightInd w:val="0"/>
              <w:snapToGrid w:val="0"/>
              <w:rPr>
                <w:rFonts w:hint="eastAsia" w:ascii="宋体" w:hAnsi="宋体" w:cs="宋体"/>
                <w:sz w:val="18"/>
                <w:szCs w:val="18"/>
              </w:rPr>
            </w:pPr>
            <w:bookmarkStart w:id="1" w:name="_Hlk214977323"/>
            <w:r>
              <w:rPr>
                <w:rFonts w:hint="eastAsia" w:ascii="宋体" w:hAnsi="宋体" w:cs="宋体"/>
                <w:sz w:val="18"/>
                <w:szCs w:val="18"/>
              </w:rPr>
              <w:t>重庆惠泽电器有限公司</w:t>
            </w:r>
          </w:p>
        </w:tc>
        <w:tc>
          <w:tcPr>
            <w:tcW w:w="1633" w:type="pct"/>
            <w:vAlign w:val="center"/>
          </w:tcPr>
          <w:p w14:paraId="15E759E0">
            <w:pPr>
              <w:adjustRightInd w:val="0"/>
              <w:snapToGrid w:val="0"/>
              <w:jc w:val="right"/>
              <w:rPr>
                <w:rFonts w:hint="eastAsia" w:ascii="宋体" w:hAnsi="宋体" w:cs="宋体"/>
                <w:sz w:val="18"/>
                <w:szCs w:val="18"/>
              </w:rPr>
            </w:pPr>
            <w:r>
              <w:rPr>
                <w:rFonts w:hint="eastAsia" w:ascii="宋体" w:hAnsi="宋体" w:cs="宋体"/>
                <w:sz w:val="18"/>
                <w:szCs w:val="18"/>
              </w:rPr>
              <w:t>40,000</w:t>
            </w:r>
          </w:p>
        </w:tc>
      </w:tr>
      <w:bookmarkEnd w:id="1"/>
      <w:tr w14:paraId="0770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7" w:type="pct"/>
            <w:vAlign w:val="center"/>
          </w:tcPr>
          <w:p w14:paraId="5A7E0A47">
            <w:pPr>
              <w:adjustRightInd w:val="0"/>
              <w:snapToGrid w:val="0"/>
              <w:rPr>
                <w:rFonts w:hint="eastAsia" w:ascii="宋体" w:hAnsi="宋体" w:cs="宋体"/>
                <w:sz w:val="18"/>
                <w:szCs w:val="18"/>
              </w:rPr>
            </w:pPr>
            <w:r>
              <w:rPr>
                <w:rFonts w:hint="eastAsia" w:ascii="宋体" w:hAnsi="宋体" w:cs="宋体"/>
                <w:sz w:val="18"/>
                <w:szCs w:val="18"/>
              </w:rPr>
              <w:t>黔南望江变压器有限公司</w:t>
            </w:r>
          </w:p>
        </w:tc>
        <w:tc>
          <w:tcPr>
            <w:tcW w:w="1633" w:type="pct"/>
            <w:vAlign w:val="center"/>
          </w:tcPr>
          <w:p w14:paraId="5DAC4D9B">
            <w:pPr>
              <w:adjustRightInd w:val="0"/>
              <w:snapToGrid w:val="0"/>
              <w:jc w:val="right"/>
              <w:rPr>
                <w:rFonts w:hint="eastAsia" w:ascii="宋体" w:hAnsi="宋体" w:cs="宋体"/>
                <w:sz w:val="18"/>
                <w:szCs w:val="18"/>
              </w:rPr>
            </w:pPr>
            <w:r>
              <w:rPr>
                <w:rFonts w:hint="eastAsia" w:ascii="宋体" w:hAnsi="宋体" w:cs="宋体"/>
                <w:sz w:val="18"/>
                <w:szCs w:val="18"/>
              </w:rPr>
              <w:t>20,000</w:t>
            </w:r>
          </w:p>
        </w:tc>
      </w:tr>
      <w:tr w14:paraId="4D5B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7" w:type="pct"/>
            <w:vAlign w:val="center"/>
          </w:tcPr>
          <w:p w14:paraId="6C0A9241">
            <w:pPr>
              <w:adjustRightInd w:val="0"/>
              <w:snapToGrid w:val="0"/>
              <w:rPr>
                <w:rFonts w:hint="eastAsia" w:ascii="宋体" w:hAnsi="宋体" w:cs="宋体"/>
                <w:b/>
                <w:bCs/>
                <w:sz w:val="18"/>
                <w:szCs w:val="18"/>
              </w:rPr>
            </w:pPr>
            <w:r>
              <w:rPr>
                <w:rFonts w:hint="eastAsia" w:ascii="宋体" w:hAnsi="宋体" w:cs="宋体"/>
                <w:b/>
                <w:bCs/>
                <w:sz w:val="18"/>
                <w:szCs w:val="18"/>
              </w:rPr>
              <w:t>合  计</w:t>
            </w:r>
          </w:p>
        </w:tc>
        <w:tc>
          <w:tcPr>
            <w:tcW w:w="1633" w:type="pct"/>
            <w:vAlign w:val="center"/>
          </w:tcPr>
          <w:p w14:paraId="22C8E7F3">
            <w:pPr>
              <w:adjustRightInd w:val="0"/>
              <w:snapToGrid w:val="0"/>
              <w:jc w:val="right"/>
              <w:rPr>
                <w:rFonts w:hint="eastAsia" w:ascii="宋体" w:hAnsi="宋体" w:cs="宋体"/>
                <w:b/>
                <w:bCs/>
                <w:sz w:val="18"/>
                <w:szCs w:val="18"/>
              </w:rPr>
            </w:pPr>
            <w:r>
              <w:rPr>
                <w:rFonts w:hint="eastAsia" w:ascii="宋体" w:hAnsi="宋体" w:cs="宋体"/>
                <w:b/>
                <w:bCs/>
                <w:sz w:val="18"/>
                <w:szCs w:val="18"/>
              </w:rPr>
              <w:fldChar w:fldCharType="begin"/>
            </w:r>
            <w:r>
              <w:rPr>
                <w:rFonts w:hint="eastAsia" w:ascii="宋体" w:hAnsi="宋体" w:cs="宋体"/>
                <w:b/>
                <w:bCs/>
                <w:sz w:val="18"/>
                <w:szCs w:val="18"/>
              </w:rPr>
              <w:instrText xml:space="preserve"> =Sum(above) \# "#,##0.00" </w:instrText>
            </w:r>
            <w:r>
              <w:rPr>
                <w:rFonts w:hint="eastAsia" w:ascii="宋体" w:hAnsi="宋体" w:cs="宋体"/>
                <w:b/>
                <w:bCs/>
                <w:sz w:val="18"/>
                <w:szCs w:val="18"/>
              </w:rPr>
              <w:fldChar w:fldCharType="separate"/>
            </w:r>
            <w:r>
              <w:rPr>
                <w:rFonts w:hint="eastAsia" w:ascii="宋体" w:hAnsi="宋体" w:cs="宋体"/>
                <w:b/>
                <w:bCs/>
                <w:sz w:val="18"/>
                <w:szCs w:val="18"/>
              </w:rPr>
              <w:t>300,000</w:t>
            </w:r>
            <w:r>
              <w:rPr>
                <w:rFonts w:hint="eastAsia" w:ascii="宋体" w:hAnsi="宋体" w:cs="宋体"/>
                <w:b/>
                <w:bCs/>
                <w:sz w:val="18"/>
                <w:szCs w:val="18"/>
              </w:rPr>
              <w:fldChar w:fldCharType="end"/>
            </w:r>
          </w:p>
        </w:tc>
      </w:tr>
    </w:tbl>
    <w:p w14:paraId="65AA3DE0">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本次担保授权公司总经理在上述额度范围内实施与申请综合授信额度及借款事项有关的担保一切事宜，包括但不限于办理并签署有关合同、协议等文件。</w:t>
      </w:r>
    </w:p>
    <w:p w14:paraId="4E1D43F4">
      <w:pPr>
        <w:adjustRightInd w:val="0"/>
        <w:snapToGrid w:val="0"/>
        <w:spacing w:line="560" w:lineRule="exact"/>
        <w:ind w:firstLine="480" w:firstLineChars="200"/>
        <w:outlineLvl w:val="1"/>
        <w:rPr>
          <w:rFonts w:hint="eastAsia" w:ascii="宋体" w:hAnsi="宋体" w:cs="宋体"/>
          <w:sz w:val="24"/>
          <w:szCs w:val="24"/>
        </w:rPr>
      </w:pPr>
      <w:r>
        <w:rPr>
          <w:rFonts w:hint="eastAsia" w:ascii="宋体" w:hAnsi="宋体" w:cs="宋体"/>
          <w:sz w:val="24"/>
          <w:szCs w:val="24"/>
        </w:rPr>
        <w:t>（二）担保预计基本情况</w:t>
      </w:r>
    </w:p>
    <w:p w14:paraId="4B2C3DAF">
      <w:pPr>
        <w:jc w:val="right"/>
        <w:rPr>
          <w:rFonts w:hint="eastAsia" w:ascii="仿宋" w:hAnsi="仿宋" w:eastAsia="仿宋"/>
          <w:color w:val="000000"/>
        </w:rPr>
      </w:pPr>
      <w:bookmarkStart w:id="2" w:name="OLE_LINK9"/>
      <w:r>
        <w:rPr>
          <w:rFonts w:hint="eastAsia" w:ascii="仿宋" w:hAnsi="仿宋" w:eastAsia="仿宋"/>
          <w:color w:val="000000"/>
        </w:rPr>
        <w:t>单位：万元  币种：人民币</w:t>
      </w:r>
    </w:p>
    <w:bookmarkEnd w:id="2"/>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710"/>
        <w:gridCol w:w="710"/>
        <w:gridCol w:w="1138"/>
        <w:gridCol w:w="1177"/>
        <w:gridCol w:w="906"/>
        <w:gridCol w:w="1120"/>
        <w:gridCol w:w="1173"/>
        <w:gridCol w:w="481"/>
        <w:gridCol w:w="397"/>
      </w:tblGrid>
      <w:tr w14:paraId="3A4E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7" w:type="pct"/>
            <w:vAlign w:val="center"/>
          </w:tcPr>
          <w:p w14:paraId="2DC32FE7">
            <w:pPr>
              <w:autoSpaceDE w:val="0"/>
              <w:autoSpaceDN w:val="0"/>
              <w:adjustRightInd w:val="0"/>
              <w:jc w:val="center"/>
              <w:rPr>
                <w:rFonts w:hint="eastAsia" w:ascii="宋体" w:hAnsi="宋体" w:cs="宋体"/>
                <w:b/>
                <w:kern w:val="0"/>
                <w:sz w:val="18"/>
                <w:szCs w:val="18"/>
              </w:rPr>
            </w:pPr>
            <w:r>
              <w:rPr>
                <w:rFonts w:hint="eastAsia" w:ascii="宋体" w:hAnsi="宋体" w:cs="宋体"/>
                <w:b/>
                <w:color w:val="000000"/>
                <w:kern w:val="0"/>
                <w:sz w:val="18"/>
                <w:szCs w:val="18"/>
              </w:rPr>
              <w:t>担</w:t>
            </w:r>
            <w:r>
              <w:rPr>
                <w:rFonts w:hint="eastAsia" w:ascii="宋体" w:hAnsi="宋体" w:cs="宋体"/>
                <w:b/>
                <w:kern w:val="0"/>
                <w:sz w:val="18"/>
                <w:szCs w:val="18"/>
              </w:rPr>
              <w:t>保方</w:t>
            </w:r>
          </w:p>
        </w:tc>
        <w:tc>
          <w:tcPr>
            <w:tcW w:w="417" w:type="pct"/>
            <w:vAlign w:val="center"/>
          </w:tcPr>
          <w:p w14:paraId="3230AFC1">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被担保方</w:t>
            </w:r>
          </w:p>
        </w:tc>
        <w:tc>
          <w:tcPr>
            <w:tcW w:w="417" w:type="pct"/>
            <w:vAlign w:val="center"/>
          </w:tcPr>
          <w:p w14:paraId="425C9962">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担保方持股比例</w:t>
            </w:r>
          </w:p>
        </w:tc>
        <w:tc>
          <w:tcPr>
            <w:tcW w:w="668" w:type="pct"/>
            <w:vAlign w:val="center"/>
          </w:tcPr>
          <w:p w14:paraId="4AB7493C">
            <w:pPr>
              <w:autoSpaceDE w:val="0"/>
              <w:autoSpaceDN w:val="0"/>
              <w:adjustRightInd w:val="0"/>
              <w:jc w:val="center"/>
              <w:rPr>
                <w:rFonts w:hint="eastAsia" w:ascii="宋体" w:hAnsi="宋体" w:cs="宋体"/>
                <w:b/>
                <w:kern w:val="0"/>
                <w:sz w:val="18"/>
                <w:szCs w:val="18"/>
                <w:highlight w:val="green"/>
              </w:rPr>
            </w:pPr>
            <w:r>
              <w:rPr>
                <w:rFonts w:hint="eastAsia" w:ascii="宋体" w:hAnsi="宋体" w:cs="宋体"/>
                <w:b/>
                <w:kern w:val="0"/>
                <w:sz w:val="18"/>
                <w:szCs w:val="18"/>
              </w:rPr>
              <w:t>被担保方</w:t>
            </w:r>
            <w:r>
              <w:rPr>
                <w:rFonts w:hint="eastAsia" w:ascii="宋体" w:hAnsi="宋体" w:cs="宋体"/>
                <w:b/>
                <w:sz w:val="18"/>
                <w:szCs w:val="18"/>
              </w:rPr>
              <w:t>2025.09.30</w:t>
            </w:r>
            <w:r>
              <w:rPr>
                <w:rFonts w:hint="eastAsia" w:ascii="宋体" w:hAnsi="宋体" w:cs="宋体"/>
                <w:b/>
                <w:kern w:val="0"/>
                <w:sz w:val="18"/>
                <w:szCs w:val="18"/>
              </w:rPr>
              <w:t>资产负债率（</w:t>
            </w:r>
            <w:r>
              <w:rPr>
                <w:rFonts w:hint="eastAsia" w:ascii="宋体" w:hAnsi="宋体" w:cs="宋体"/>
                <w:b/>
                <w:sz w:val="18"/>
                <w:szCs w:val="18"/>
              </w:rPr>
              <w:t>未经审计）</w:t>
            </w:r>
          </w:p>
        </w:tc>
        <w:tc>
          <w:tcPr>
            <w:tcW w:w="691" w:type="pct"/>
            <w:vAlign w:val="center"/>
          </w:tcPr>
          <w:p w14:paraId="4AA379AB">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截至2025年9月末担保余额</w:t>
            </w:r>
          </w:p>
          <w:p w14:paraId="11CFC136">
            <w:pPr>
              <w:autoSpaceDE w:val="0"/>
              <w:autoSpaceDN w:val="0"/>
              <w:adjustRightInd w:val="0"/>
              <w:jc w:val="center"/>
              <w:rPr>
                <w:rFonts w:hint="eastAsia" w:ascii="宋体" w:hAnsi="宋体" w:cs="宋体"/>
                <w:b/>
                <w:kern w:val="0"/>
                <w:sz w:val="18"/>
                <w:szCs w:val="18"/>
                <w:highlight w:val="green"/>
              </w:rPr>
            </w:pPr>
            <w:r>
              <w:rPr>
                <w:rFonts w:hint="eastAsia" w:ascii="宋体" w:hAnsi="宋体" w:cs="宋体"/>
                <w:b/>
                <w:kern w:val="0"/>
                <w:sz w:val="18"/>
                <w:szCs w:val="18"/>
              </w:rPr>
              <w:t>（万元）</w:t>
            </w:r>
          </w:p>
        </w:tc>
        <w:tc>
          <w:tcPr>
            <w:tcW w:w="532" w:type="pct"/>
            <w:vAlign w:val="center"/>
          </w:tcPr>
          <w:p w14:paraId="7134F4BA">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本次新增担保额度</w:t>
            </w:r>
          </w:p>
        </w:tc>
        <w:tc>
          <w:tcPr>
            <w:tcW w:w="657" w:type="pct"/>
            <w:vAlign w:val="center"/>
          </w:tcPr>
          <w:p w14:paraId="3D430024">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新增担保额度占上市公司最近一期经审计净资产比例</w:t>
            </w:r>
          </w:p>
        </w:tc>
        <w:tc>
          <w:tcPr>
            <w:tcW w:w="688" w:type="pct"/>
            <w:vAlign w:val="center"/>
          </w:tcPr>
          <w:p w14:paraId="2BC0D367">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担保额度预计有效期</w:t>
            </w:r>
          </w:p>
        </w:tc>
        <w:tc>
          <w:tcPr>
            <w:tcW w:w="282" w:type="pct"/>
            <w:vAlign w:val="center"/>
          </w:tcPr>
          <w:p w14:paraId="6C9B3CB2">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是否关联担保</w:t>
            </w:r>
          </w:p>
        </w:tc>
        <w:tc>
          <w:tcPr>
            <w:tcW w:w="233" w:type="pct"/>
            <w:vAlign w:val="center"/>
          </w:tcPr>
          <w:p w14:paraId="0431EDA2">
            <w:pPr>
              <w:autoSpaceDE w:val="0"/>
              <w:autoSpaceDN w:val="0"/>
              <w:adjustRightInd w:val="0"/>
              <w:jc w:val="center"/>
              <w:rPr>
                <w:rFonts w:hint="eastAsia" w:ascii="宋体" w:hAnsi="宋体" w:cs="宋体"/>
                <w:b/>
                <w:kern w:val="0"/>
                <w:sz w:val="18"/>
                <w:szCs w:val="18"/>
              </w:rPr>
            </w:pPr>
            <w:r>
              <w:rPr>
                <w:rFonts w:hint="eastAsia" w:ascii="宋体" w:hAnsi="宋体" w:cs="宋体"/>
                <w:b/>
                <w:kern w:val="0"/>
                <w:sz w:val="18"/>
                <w:szCs w:val="18"/>
              </w:rPr>
              <w:t>是否有反担保</w:t>
            </w:r>
          </w:p>
        </w:tc>
      </w:tr>
      <w:tr w14:paraId="5BF8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10"/>
            <w:vAlign w:val="center"/>
          </w:tcPr>
          <w:p w14:paraId="3A1645B7">
            <w:pPr>
              <w:autoSpaceDE w:val="0"/>
              <w:autoSpaceDN w:val="0"/>
              <w:adjustRightInd w:val="0"/>
              <w:jc w:val="left"/>
              <w:rPr>
                <w:rFonts w:hint="eastAsia" w:ascii="宋体" w:hAnsi="宋体" w:cs="宋体"/>
                <w:kern w:val="0"/>
                <w:sz w:val="18"/>
                <w:szCs w:val="18"/>
                <w:highlight w:val="yellow"/>
              </w:rPr>
            </w:pPr>
            <w:r>
              <w:rPr>
                <w:rFonts w:hint="eastAsia" w:ascii="宋体" w:hAnsi="宋体" w:cs="宋体"/>
                <w:kern w:val="0"/>
                <w:sz w:val="18"/>
                <w:szCs w:val="18"/>
              </w:rPr>
              <w:t>对控股子公司的担保预计</w:t>
            </w:r>
          </w:p>
        </w:tc>
      </w:tr>
      <w:tr w14:paraId="0FE0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10"/>
            <w:vAlign w:val="center"/>
          </w:tcPr>
          <w:p w14:paraId="50BF0F12">
            <w:pPr>
              <w:autoSpaceDE w:val="0"/>
              <w:autoSpaceDN w:val="0"/>
              <w:adjustRightInd w:val="0"/>
              <w:jc w:val="left"/>
              <w:rPr>
                <w:rFonts w:hint="eastAsia" w:ascii="宋体" w:hAnsi="宋体" w:cs="宋体"/>
                <w:kern w:val="0"/>
                <w:sz w:val="18"/>
                <w:szCs w:val="18"/>
                <w:highlight w:val="yellow"/>
              </w:rPr>
            </w:pPr>
            <w:r>
              <w:rPr>
                <w:rFonts w:hint="eastAsia" w:ascii="宋体" w:hAnsi="宋体" w:cs="宋体"/>
                <w:kern w:val="0"/>
                <w:sz w:val="18"/>
                <w:szCs w:val="18"/>
              </w:rPr>
              <w:t>1.资产负债率为70%以上的控股子公司</w:t>
            </w:r>
          </w:p>
        </w:tc>
      </w:tr>
      <w:tr w14:paraId="46F8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7" w:type="pct"/>
            <w:vAlign w:val="center"/>
          </w:tcPr>
          <w:p w14:paraId="75D3220B">
            <w:pPr>
              <w:widowControl/>
              <w:jc w:val="center"/>
              <w:textAlignment w:val="center"/>
              <w:rPr>
                <w:rFonts w:hint="eastAsia" w:ascii="宋体" w:hAnsi="宋体" w:cs="宋体"/>
                <w:kern w:val="0"/>
                <w:sz w:val="18"/>
                <w:szCs w:val="18"/>
              </w:rPr>
            </w:pPr>
            <w:r>
              <w:rPr>
                <w:rFonts w:hint="eastAsia" w:ascii="宋体" w:hAnsi="宋体" w:cs="宋体"/>
                <w:kern w:val="0"/>
                <w:sz w:val="18"/>
                <w:szCs w:val="18"/>
              </w:rPr>
              <w:t>望变电气</w:t>
            </w:r>
          </w:p>
        </w:tc>
        <w:tc>
          <w:tcPr>
            <w:tcW w:w="417" w:type="pct"/>
            <w:vAlign w:val="center"/>
          </w:tcPr>
          <w:p w14:paraId="14B46670">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黔南望江</w:t>
            </w:r>
          </w:p>
        </w:tc>
        <w:tc>
          <w:tcPr>
            <w:tcW w:w="417" w:type="pct"/>
            <w:vAlign w:val="center"/>
          </w:tcPr>
          <w:p w14:paraId="42AA2092">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100%</w:t>
            </w:r>
          </w:p>
        </w:tc>
        <w:tc>
          <w:tcPr>
            <w:tcW w:w="668" w:type="pct"/>
            <w:vAlign w:val="center"/>
          </w:tcPr>
          <w:p w14:paraId="0A66EF4F">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75.84%</w:t>
            </w:r>
          </w:p>
        </w:tc>
        <w:tc>
          <w:tcPr>
            <w:tcW w:w="691" w:type="pct"/>
            <w:vAlign w:val="center"/>
          </w:tcPr>
          <w:p w14:paraId="543DFB4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4,003.80</w:t>
            </w:r>
          </w:p>
        </w:tc>
        <w:tc>
          <w:tcPr>
            <w:tcW w:w="532" w:type="pct"/>
            <w:vAlign w:val="center"/>
          </w:tcPr>
          <w:p w14:paraId="30F056E1">
            <w:pPr>
              <w:widowControl/>
              <w:jc w:val="center"/>
              <w:textAlignment w:val="center"/>
              <w:rPr>
                <w:rFonts w:hint="eastAsia" w:ascii="宋体" w:hAnsi="宋体" w:cs="宋体"/>
                <w:sz w:val="18"/>
                <w:szCs w:val="18"/>
                <w:highlight w:val="yellow"/>
              </w:rPr>
            </w:pPr>
            <w:r>
              <w:rPr>
                <w:rFonts w:hint="eastAsia" w:ascii="宋体" w:hAnsi="宋体" w:cs="宋体"/>
                <w:sz w:val="18"/>
                <w:szCs w:val="18"/>
              </w:rPr>
              <w:t>20,000</w:t>
            </w:r>
          </w:p>
        </w:tc>
        <w:tc>
          <w:tcPr>
            <w:tcW w:w="657" w:type="pct"/>
            <w:vAlign w:val="center"/>
          </w:tcPr>
          <w:p w14:paraId="644C8691">
            <w:pPr>
              <w:widowControl/>
              <w:jc w:val="center"/>
              <w:textAlignment w:val="center"/>
              <w:rPr>
                <w:rFonts w:hint="eastAsia" w:ascii="宋体" w:hAnsi="宋体" w:cs="宋体"/>
                <w:sz w:val="18"/>
                <w:szCs w:val="18"/>
                <w:highlight w:val="yellow"/>
              </w:rPr>
            </w:pPr>
            <w:r>
              <w:rPr>
                <w:rFonts w:hint="eastAsia" w:ascii="宋体" w:hAnsi="宋体" w:cs="宋体"/>
                <w:sz w:val="18"/>
                <w:szCs w:val="18"/>
              </w:rPr>
              <w:t>8.29%</w:t>
            </w:r>
          </w:p>
        </w:tc>
        <w:tc>
          <w:tcPr>
            <w:tcW w:w="688" w:type="pct"/>
            <w:vAlign w:val="center"/>
          </w:tcPr>
          <w:p w14:paraId="7606E7B7">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2026.12.31</w:t>
            </w:r>
          </w:p>
        </w:tc>
        <w:tc>
          <w:tcPr>
            <w:tcW w:w="282" w:type="pct"/>
            <w:vAlign w:val="center"/>
          </w:tcPr>
          <w:p w14:paraId="26472D08">
            <w:pPr>
              <w:widowControl/>
              <w:jc w:val="center"/>
              <w:textAlignment w:val="center"/>
              <w:rPr>
                <w:rFonts w:hint="eastAsia" w:ascii="宋体" w:hAnsi="宋体" w:cs="宋体"/>
                <w:kern w:val="0"/>
                <w:sz w:val="18"/>
                <w:szCs w:val="18"/>
              </w:rPr>
            </w:pPr>
            <w:r>
              <w:rPr>
                <w:rFonts w:hint="eastAsia" w:ascii="宋体" w:hAnsi="宋体" w:cs="宋体"/>
                <w:kern w:val="0"/>
                <w:sz w:val="18"/>
                <w:szCs w:val="18"/>
                <w:lang w:bidi="ar"/>
              </w:rPr>
              <w:t>否</w:t>
            </w:r>
          </w:p>
        </w:tc>
        <w:tc>
          <w:tcPr>
            <w:tcW w:w="233" w:type="pct"/>
            <w:vAlign w:val="center"/>
          </w:tcPr>
          <w:p w14:paraId="2928FDC6">
            <w:pPr>
              <w:widowControl/>
              <w:jc w:val="center"/>
              <w:textAlignment w:val="center"/>
              <w:rPr>
                <w:rFonts w:hint="eastAsia" w:ascii="宋体" w:hAnsi="宋体" w:cs="宋体"/>
                <w:kern w:val="0"/>
                <w:sz w:val="18"/>
                <w:szCs w:val="18"/>
              </w:rPr>
            </w:pPr>
            <w:r>
              <w:rPr>
                <w:rFonts w:hint="eastAsia" w:ascii="宋体" w:hAnsi="宋体" w:cs="宋体"/>
                <w:kern w:val="0"/>
                <w:sz w:val="18"/>
                <w:szCs w:val="18"/>
                <w:lang w:bidi="ar"/>
              </w:rPr>
              <w:t>否</w:t>
            </w:r>
          </w:p>
        </w:tc>
      </w:tr>
      <w:tr w14:paraId="477D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10"/>
            <w:vAlign w:val="center"/>
          </w:tcPr>
          <w:p w14:paraId="26DF7643">
            <w:pPr>
              <w:autoSpaceDE w:val="0"/>
              <w:autoSpaceDN w:val="0"/>
              <w:adjustRightInd w:val="0"/>
              <w:jc w:val="left"/>
              <w:rPr>
                <w:rFonts w:hint="eastAsia" w:ascii="宋体" w:hAnsi="宋体" w:cs="宋体"/>
                <w:kern w:val="0"/>
                <w:sz w:val="18"/>
                <w:szCs w:val="18"/>
              </w:rPr>
            </w:pPr>
            <w:r>
              <w:rPr>
                <w:rFonts w:hint="eastAsia" w:ascii="宋体" w:hAnsi="宋体" w:cs="宋体"/>
                <w:kern w:val="0"/>
                <w:sz w:val="18"/>
                <w:szCs w:val="18"/>
              </w:rPr>
              <w:t>2.资产负债率为70%以下的控股子公司</w:t>
            </w:r>
          </w:p>
        </w:tc>
      </w:tr>
      <w:tr w14:paraId="5A6C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7" w:type="pct"/>
            <w:vAlign w:val="center"/>
          </w:tcPr>
          <w:p w14:paraId="43430532">
            <w:pPr>
              <w:widowControl/>
              <w:jc w:val="center"/>
              <w:textAlignment w:val="center"/>
              <w:rPr>
                <w:rFonts w:hint="eastAsia" w:ascii="宋体" w:hAnsi="宋体" w:cs="宋体"/>
                <w:kern w:val="0"/>
                <w:sz w:val="18"/>
                <w:szCs w:val="18"/>
              </w:rPr>
            </w:pPr>
            <w:r>
              <w:rPr>
                <w:rFonts w:hint="eastAsia" w:ascii="宋体" w:hAnsi="宋体" w:cs="宋体"/>
                <w:kern w:val="0"/>
                <w:sz w:val="18"/>
                <w:szCs w:val="18"/>
              </w:rPr>
              <w:t>望变电气</w:t>
            </w:r>
          </w:p>
        </w:tc>
        <w:tc>
          <w:tcPr>
            <w:tcW w:w="417" w:type="pct"/>
            <w:vAlign w:val="center"/>
          </w:tcPr>
          <w:p w14:paraId="321C9E5E">
            <w:pPr>
              <w:widowControl/>
              <w:jc w:val="center"/>
              <w:textAlignment w:val="center"/>
              <w:rPr>
                <w:rFonts w:hint="eastAsia" w:ascii="宋体" w:hAnsi="宋体" w:cs="宋体"/>
                <w:kern w:val="0"/>
                <w:sz w:val="18"/>
                <w:szCs w:val="18"/>
              </w:rPr>
            </w:pPr>
            <w:r>
              <w:rPr>
                <w:rFonts w:hint="eastAsia" w:ascii="宋体" w:hAnsi="宋体" w:cs="宋体"/>
                <w:kern w:val="0"/>
                <w:sz w:val="18"/>
                <w:szCs w:val="18"/>
              </w:rPr>
              <w:t>云变电气</w:t>
            </w:r>
          </w:p>
        </w:tc>
        <w:tc>
          <w:tcPr>
            <w:tcW w:w="417" w:type="pct"/>
            <w:vAlign w:val="center"/>
          </w:tcPr>
          <w:p w14:paraId="13E9242D">
            <w:pPr>
              <w:widowControl/>
              <w:jc w:val="center"/>
              <w:textAlignment w:val="center"/>
              <w:rPr>
                <w:rFonts w:hint="eastAsia" w:ascii="宋体" w:hAnsi="宋体" w:cs="宋体"/>
                <w:kern w:val="0"/>
                <w:sz w:val="18"/>
                <w:szCs w:val="18"/>
              </w:rPr>
            </w:pPr>
            <w:r>
              <w:rPr>
                <w:rFonts w:hint="eastAsia" w:ascii="宋体" w:hAnsi="宋体" w:cs="宋体"/>
                <w:kern w:val="0"/>
                <w:sz w:val="18"/>
                <w:szCs w:val="18"/>
              </w:rPr>
              <w:t>100%</w:t>
            </w:r>
          </w:p>
        </w:tc>
        <w:tc>
          <w:tcPr>
            <w:tcW w:w="668" w:type="pct"/>
            <w:vAlign w:val="center"/>
          </w:tcPr>
          <w:p w14:paraId="2B4F87C6">
            <w:pPr>
              <w:widowControl/>
              <w:jc w:val="center"/>
              <w:textAlignment w:val="center"/>
              <w:rPr>
                <w:rFonts w:hint="eastAsia" w:ascii="宋体" w:hAnsi="宋体" w:cs="宋体"/>
                <w:kern w:val="0"/>
                <w:sz w:val="18"/>
                <w:szCs w:val="18"/>
              </w:rPr>
            </w:pPr>
            <w:r>
              <w:rPr>
                <w:rFonts w:hint="eastAsia" w:ascii="宋体" w:hAnsi="宋体" w:cs="宋体"/>
                <w:kern w:val="0"/>
                <w:sz w:val="18"/>
                <w:szCs w:val="18"/>
              </w:rPr>
              <w:t>65.41%</w:t>
            </w:r>
          </w:p>
        </w:tc>
        <w:tc>
          <w:tcPr>
            <w:tcW w:w="691" w:type="pct"/>
            <w:vAlign w:val="center"/>
          </w:tcPr>
          <w:p w14:paraId="215D06FF">
            <w:pPr>
              <w:widowControl/>
              <w:jc w:val="center"/>
              <w:textAlignment w:val="center"/>
              <w:rPr>
                <w:rFonts w:hint="eastAsia" w:ascii="宋体" w:hAnsi="宋体" w:cs="宋体"/>
                <w:kern w:val="0"/>
                <w:sz w:val="18"/>
                <w:szCs w:val="18"/>
              </w:rPr>
            </w:pPr>
            <w:r>
              <w:rPr>
                <w:rFonts w:hint="eastAsia" w:ascii="宋体" w:hAnsi="宋体" w:cs="宋体"/>
                <w:kern w:val="0"/>
                <w:sz w:val="18"/>
                <w:szCs w:val="18"/>
              </w:rPr>
              <w:t>56,412.95</w:t>
            </w:r>
          </w:p>
        </w:tc>
        <w:tc>
          <w:tcPr>
            <w:tcW w:w="532" w:type="pct"/>
            <w:vAlign w:val="center"/>
          </w:tcPr>
          <w:p w14:paraId="4E4AF4D7">
            <w:pPr>
              <w:widowControl/>
              <w:jc w:val="center"/>
              <w:textAlignment w:val="center"/>
              <w:rPr>
                <w:rFonts w:hint="eastAsia" w:ascii="宋体" w:hAnsi="宋体" w:cs="宋体"/>
                <w:kern w:val="0"/>
                <w:sz w:val="18"/>
                <w:szCs w:val="18"/>
                <w:highlight w:val="yellow"/>
              </w:rPr>
            </w:pPr>
            <w:r>
              <w:rPr>
                <w:rFonts w:hint="eastAsia" w:ascii="宋体" w:hAnsi="宋体" w:cs="宋体"/>
                <w:kern w:val="0"/>
                <w:sz w:val="18"/>
                <w:szCs w:val="18"/>
              </w:rPr>
              <w:t>180,000</w:t>
            </w:r>
          </w:p>
        </w:tc>
        <w:tc>
          <w:tcPr>
            <w:tcW w:w="657" w:type="pct"/>
            <w:vAlign w:val="center"/>
          </w:tcPr>
          <w:p w14:paraId="258FA063">
            <w:pPr>
              <w:widowControl/>
              <w:jc w:val="center"/>
              <w:textAlignment w:val="center"/>
              <w:rPr>
                <w:rFonts w:hint="eastAsia" w:ascii="宋体" w:hAnsi="宋体" w:cs="宋体"/>
                <w:kern w:val="0"/>
                <w:sz w:val="18"/>
                <w:szCs w:val="18"/>
                <w:highlight w:val="yellow"/>
              </w:rPr>
            </w:pPr>
            <w:r>
              <w:rPr>
                <w:rFonts w:hint="eastAsia" w:ascii="宋体" w:hAnsi="宋体" w:cs="宋体"/>
                <w:kern w:val="0"/>
                <w:sz w:val="18"/>
                <w:szCs w:val="18"/>
              </w:rPr>
              <w:t>74.59%</w:t>
            </w:r>
          </w:p>
        </w:tc>
        <w:tc>
          <w:tcPr>
            <w:tcW w:w="688" w:type="pct"/>
            <w:vAlign w:val="center"/>
          </w:tcPr>
          <w:p w14:paraId="75228CF4">
            <w:pPr>
              <w:widowControl/>
              <w:jc w:val="center"/>
              <w:textAlignment w:val="center"/>
              <w:rPr>
                <w:rFonts w:hint="eastAsia" w:ascii="宋体" w:hAnsi="宋体" w:cs="宋体"/>
                <w:kern w:val="0"/>
                <w:sz w:val="18"/>
                <w:szCs w:val="18"/>
              </w:rPr>
            </w:pPr>
            <w:r>
              <w:rPr>
                <w:rFonts w:hint="eastAsia" w:ascii="宋体" w:hAnsi="宋体" w:cs="宋体"/>
                <w:kern w:val="0"/>
                <w:sz w:val="18"/>
                <w:szCs w:val="18"/>
              </w:rPr>
              <w:t>2026.12.31</w:t>
            </w:r>
          </w:p>
        </w:tc>
        <w:tc>
          <w:tcPr>
            <w:tcW w:w="282" w:type="pct"/>
            <w:vAlign w:val="center"/>
          </w:tcPr>
          <w:p w14:paraId="47DFC35D">
            <w:pPr>
              <w:widowControl/>
              <w:jc w:val="center"/>
              <w:textAlignment w:val="center"/>
              <w:rPr>
                <w:rFonts w:hint="eastAsia" w:ascii="宋体" w:hAnsi="宋体" w:cs="宋体"/>
                <w:kern w:val="0"/>
                <w:sz w:val="18"/>
                <w:szCs w:val="18"/>
              </w:rPr>
            </w:pPr>
            <w:r>
              <w:rPr>
                <w:rFonts w:hint="eastAsia" w:ascii="宋体" w:hAnsi="宋体" w:cs="宋体"/>
                <w:kern w:val="0"/>
                <w:sz w:val="18"/>
                <w:szCs w:val="18"/>
              </w:rPr>
              <w:t>否</w:t>
            </w:r>
          </w:p>
        </w:tc>
        <w:tc>
          <w:tcPr>
            <w:tcW w:w="233" w:type="pct"/>
            <w:vAlign w:val="center"/>
          </w:tcPr>
          <w:p w14:paraId="0F97C6DE">
            <w:pPr>
              <w:widowControl/>
              <w:jc w:val="center"/>
              <w:textAlignment w:val="center"/>
              <w:rPr>
                <w:rFonts w:hint="eastAsia" w:ascii="宋体" w:hAnsi="宋体" w:cs="宋体"/>
                <w:kern w:val="0"/>
                <w:sz w:val="18"/>
                <w:szCs w:val="18"/>
              </w:rPr>
            </w:pPr>
            <w:r>
              <w:rPr>
                <w:rFonts w:hint="eastAsia" w:ascii="宋体" w:hAnsi="宋体" w:cs="宋体"/>
                <w:kern w:val="0"/>
                <w:sz w:val="18"/>
                <w:szCs w:val="18"/>
              </w:rPr>
              <w:t>否</w:t>
            </w:r>
          </w:p>
        </w:tc>
      </w:tr>
      <w:tr w14:paraId="496E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7" w:type="pct"/>
            <w:vAlign w:val="center"/>
          </w:tcPr>
          <w:p w14:paraId="2F5CE109">
            <w:pPr>
              <w:widowControl/>
              <w:jc w:val="center"/>
              <w:textAlignment w:val="center"/>
              <w:rPr>
                <w:rFonts w:hint="eastAsia" w:ascii="宋体" w:hAnsi="宋体" w:cs="宋体"/>
                <w:kern w:val="0"/>
                <w:sz w:val="18"/>
                <w:szCs w:val="18"/>
              </w:rPr>
            </w:pPr>
            <w:r>
              <w:rPr>
                <w:rFonts w:hint="eastAsia" w:ascii="宋体" w:hAnsi="宋体" w:cs="宋体"/>
                <w:kern w:val="0"/>
                <w:sz w:val="18"/>
                <w:szCs w:val="18"/>
              </w:rPr>
              <w:t>望变电气</w:t>
            </w:r>
          </w:p>
        </w:tc>
        <w:tc>
          <w:tcPr>
            <w:tcW w:w="417" w:type="pct"/>
            <w:vAlign w:val="center"/>
          </w:tcPr>
          <w:p w14:paraId="05A3897E">
            <w:pPr>
              <w:widowControl/>
              <w:jc w:val="center"/>
              <w:textAlignment w:val="center"/>
              <w:rPr>
                <w:rFonts w:hint="eastAsia" w:ascii="宋体" w:hAnsi="宋体" w:cs="宋体"/>
                <w:kern w:val="0"/>
                <w:sz w:val="18"/>
                <w:szCs w:val="18"/>
              </w:rPr>
            </w:pPr>
            <w:r>
              <w:rPr>
                <w:rFonts w:hint="eastAsia" w:ascii="宋体" w:hAnsi="宋体" w:cs="宋体"/>
                <w:kern w:val="0"/>
                <w:sz w:val="18"/>
                <w:szCs w:val="18"/>
              </w:rPr>
              <w:t>望来充</w:t>
            </w:r>
          </w:p>
        </w:tc>
        <w:tc>
          <w:tcPr>
            <w:tcW w:w="417" w:type="pct"/>
            <w:vAlign w:val="center"/>
          </w:tcPr>
          <w:p w14:paraId="49DABC9C">
            <w:pPr>
              <w:widowControl/>
              <w:jc w:val="center"/>
              <w:textAlignment w:val="center"/>
              <w:rPr>
                <w:rFonts w:hint="eastAsia" w:ascii="宋体" w:hAnsi="宋体" w:cs="宋体"/>
                <w:kern w:val="0"/>
                <w:sz w:val="18"/>
                <w:szCs w:val="18"/>
              </w:rPr>
            </w:pPr>
            <w:r>
              <w:rPr>
                <w:rFonts w:hint="eastAsia" w:ascii="宋体" w:hAnsi="宋体" w:cs="宋体"/>
                <w:kern w:val="0"/>
                <w:sz w:val="18"/>
                <w:szCs w:val="18"/>
              </w:rPr>
              <w:t>100%</w:t>
            </w:r>
          </w:p>
        </w:tc>
        <w:tc>
          <w:tcPr>
            <w:tcW w:w="668" w:type="pct"/>
            <w:vAlign w:val="center"/>
          </w:tcPr>
          <w:p w14:paraId="27A46F9E">
            <w:pPr>
              <w:widowControl/>
              <w:jc w:val="center"/>
              <w:textAlignment w:val="center"/>
              <w:rPr>
                <w:rFonts w:hint="eastAsia" w:ascii="宋体" w:hAnsi="宋体" w:cs="宋体"/>
                <w:kern w:val="0"/>
                <w:sz w:val="18"/>
                <w:szCs w:val="18"/>
              </w:rPr>
            </w:pPr>
            <w:r>
              <w:rPr>
                <w:rFonts w:hint="eastAsia" w:ascii="宋体" w:hAnsi="宋体" w:cs="宋体"/>
                <w:kern w:val="0"/>
                <w:sz w:val="18"/>
                <w:szCs w:val="18"/>
              </w:rPr>
              <w:t>0.09%</w:t>
            </w:r>
          </w:p>
        </w:tc>
        <w:tc>
          <w:tcPr>
            <w:tcW w:w="691" w:type="pct"/>
            <w:vAlign w:val="center"/>
          </w:tcPr>
          <w:p w14:paraId="7CF64FFC">
            <w:pPr>
              <w:widowControl/>
              <w:jc w:val="center"/>
              <w:textAlignment w:val="center"/>
              <w:rPr>
                <w:rFonts w:hint="eastAsia" w:ascii="宋体" w:hAnsi="宋体" w:cs="宋体"/>
                <w:kern w:val="0"/>
                <w:sz w:val="18"/>
                <w:szCs w:val="18"/>
              </w:rPr>
            </w:pPr>
            <w:r>
              <w:rPr>
                <w:rFonts w:hint="eastAsia" w:ascii="宋体" w:hAnsi="宋体" w:cs="宋体"/>
                <w:kern w:val="0"/>
                <w:sz w:val="18"/>
                <w:szCs w:val="18"/>
              </w:rPr>
              <w:t>-</w:t>
            </w:r>
          </w:p>
        </w:tc>
        <w:tc>
          <w:tcPr>
            <w:tcW w:w="532" w:type="pct"/>
            <w:vAlign w:val="center"/>
          </w:tcPr>
          <w:p w14:paraId="791D8016">
            <w:pPr>
              <w:widowControl/>
              <w:jc w:val="center"/>
              <w:textAlignment w:val="center"/>
              <w:rPr>
                <w:rFonts w:hint="eastAsia" w:ascii="宋体" w:hAnsi="宋体" w:cs="宋体"/>
                <w:kern w:val="0"/>
                <w:sz w:val="18"/>
                <w:szCs w:val="18"/>
              </w:rPr>
            </w:pPr>
            <w:r>
              <w:rPr>
                <w:rFonts w:hint="eastAsia" w:ascii="宋体" w:hAnsi="宋体" w:cs="宋体"/>
                <w:kern w:val="0"/>
                <w:sz w:val="18"/>
                <w:szCs w:val="18"/>
              </w:rPr>
              <w:t>60,000</w:t>
            </w:r>
          </w:p>
        </w:tc>
        <w:tc>
          <w:tcPr>
            <w:tcW w:w="657" w:type="pct"/>
            <w:vAlign w:val="center"/>
          </w:tcPr>
          <w:p w14:paraId="1540E46E">
            <w:pPr>
              <w:widowControl/>
              <w:jc w:val="center"/>
              <w:textAlignment w:val="center"/>
              <w:rPr>
                <w:rFonts w:hint="eastAsia" w:ascii="宋体" w:hAnsi="宋体" w:cs="宋体"/>
                <w:kern w:val="0"/>
                <w:sz w:val="18"/>
                <w:szCs w:val="18"/>
                <w:highlight w:val="yellow"/>
              </w:rPr>
            </w:pPr>
            <w:r>
              <w:rPr>
                <w:rFonts w:hint="eastAsia" w:ascii="宋体" w:hAnsi="宋体" w:cs="宋体"/>
                <w:kern w:val="0"/>
                <w:sz w:val="18"/>
                <w:szCs w:val="18"/>
              </w:rPr>
              <w:t>24.86%</w:t>
            </w:r>
          </w:p>
        </w:tc>
        <w:tc>
          <w:tcPr>
            <w:tcW w:w="688" w:type="pct"/>
            <w:vAlign w:val="center"/>
          </w:tcPr>
          <w:p w14:paraId="245A267E">
            <w:pPr>
              <w:widowControl/>
              <w:jc w:val="center"/>
              <w:textAlignment w:val="center"/>
              <w:rPr>
                <w:rFonts w:hint="eastAsia" w:ascii="宋体" w:hAnsi="宋体" w:cs="宋体"/>
                <w:kern w:val="0"/>
                <w:sz w:val="18"/>
                <w:szCs w:val="18"/>
              </w:rPr>
            </w:pPr>
            <w:r>
              <w:rPr>
                <w:rFonts w:hint="eastAsia" w:ascii="宋体" w:hAnsi="宋体" w:cs="宋体"/>
                <w:kern w:val="0"/>
                <w:sz w:val="18"/>
                <w:szCs w:val="18"/>
              </w:rPr>
              <w:t>2026.12.31</w:t>
            </w:r>
          </w:p>
        </w:tc>
        <w:tc>
          <w:tcPr>
            <w:tcW w:w="282" w:type="pct"/>
            <w:vAlign w:val="center"/>
          </w:tcPr>
          <w:p w14:paraId="0E836ED7">
            <w:pPr>
              <w:widowControl/>
              <w:jc w:val="center"/>
              <w:textAlignment w:val="center"/>
              <w:rPr>
                <w:rFonts w:hint="eastAsia" w:ascii="宋体" w:hAnsi="宋体" w:cs="宋体"/>
                <w:kern w:val="0"/>
                <w:sz w:val="18"/>
                <w:szCs w:val="18"/>
              </w:rPr>
            </w:pPr>
            <w:r>
              <w:rPr>
                <w:rFonts w:hint="eastAsia" w:ascii="宋体" w:hAnsi="宋体" w:cs="宋体"/>
                <w:kern w:val="0"/>
                <w:sz w:val="18"/>
                <w:szCs w:val="18"/>
              </w:rPr>
              <w:t>否</w:t>
            </w:r>
          </w:p>
        </w:tc>
        <w:tc>
          <w:tcPr>
            <w:tcW w:w="233" w:type="pct"/>
            <w:vAlign w:val="center"/>
          </w:tcPr>
          <w:p w14:paraId="63242C6D">
            <w:pPr>
              <w:widowControl/>
              <w:jc w:val="center"/>
              <w:textAlignment w:val="center"/>
              <w:rPr>
                <w:rFonts w:hint="eastAsia" w:ascii="宋体" w:hAnsi="宋体" w:cs="宋体"/>
                <w:kern w:val="0"/>
                <w:sz w:val="18"/>
                <w:szCs w:val="18"/>
              </w:rPr>
            </w:pPr>
            <w:r>
              <w:rPr>
                <w:rFonts w:hint="eastAsia" w:ascii="宋体" w:hAnsi="宋体" w:cs="宋体"/>
                <w:kern w:val="0"/>
                <w:sz w:val="18"/>
                <w:szCs w:val="18"/>
              </w:rPr>
              <w:t>否</w:t>
            </w:r>
          </w:p>
        </w:tc>
      </w:tr>
      <w:tr w14:paraId="2099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7" w:type="pct"/>
            <w:vAlign w:val="center"/>
          </w:tcPr>
          <w:p w14:paraId="108C5A0F">
            <w:pPr>
              <w:widowControl/>
              <w:jc w:val="center"/>
              <w:textAlignment w:val="center"/>
              <w:rPr>
                <w:rFonts w:hint="eastAsia" w:ascii="宋体" w:hAnsi="宋体" w:cs="宋体"/>
                <w:kern w:val="0"/>
                <w:sz w:val="18"/>
                <w:szCs w:val="18"/>
              </w:rPr>
            </w:pPr>
            <w:r>
              <w:rPr>
                <w:rFonts w:hint="eastAsia" w:ascii="宋体" w:hAnsi="宋体" w:cs="宋体"/>
                <w:kern w:val="0"/>
                <w:sz w:val="18"/>
                <w:szCs w:val="18"/>
              </w:rPr>
              <w:t>望变电气</w:t>
            </w:r>
          </w:p>
        </w:tc>
        <w:tc>
          <w:tcPr>
            <w:tcW w:w="417" w:type="pct"/>
            <w:vAlign w:val="center"/>
          </w:tcPr>
          <w:p w14:paraId="10BDAB33">
            <w:pPr>
              <w:widowControl/>
              <w:jc w:val="center"/>
              <w:textAlignment w:val="center"/>
              <w:rPr>
                <w:rFonts w:hint="eastAsia" w:ascii="宋体" w:hAnsi="宋体" w:cs="宋体"/>
                <w:kern w:val="0"/>
                <w:sz w:val="18"/>
                <w:szCs w:val="18"/>
              </w:rPr>
            </w:pPr>
            <w:r>
              <w:rPr>
                <w:rFonts w:hint="eastAsia" w:ascii="宋体" w:hAnsi="宋体" w:cs="宋体"/>
                <w:kern w:val="0"/>
                <w:sz w:val="18"/>
                <w:szCs w:val="18"/>
              </w:rPr>
              <w:t>惠泽电器</w:t>
            </w:r>
          </w:p>
        </w:tc>
        <w:tc>
          <w:tcPr>
            <w:tcW w:w="417" w:type="pct"/>
            <w:vAlign w:val="center"/>
          </w:tcPr>
          <w:p w14:paraId="0E51CD8A">
            <w:pPr>
              <w:widowControl/>
              <w:jc w:val="center"/>
              <w:textAlignment w:val="center"/>
              <w:rPr>
                <w:rFonts w:hint="eastAsia" w:ascii="宋体" w:hAnsi="宋体" w:cs="宋体"/>
                <w:kern w:val="0"/>
                <w:sz w:val="18"/>
                <w:szCs w:val="18"/>
              </w:rPr>
            </w:pPr>
            <w:r>
              <w:rPr>
                <w:rFonts w:hint="eastAsia" w:ascii="宋体" w:hAnsi="宋体" w:cs="宋体"/>
                <w:kern w:val="0"/>
                <w:sz w:val="18"/>
                <w:szCs w:val="18"/>
              </w:rPr>
              <w:t>100%</w:t>
            </w:r>
          </w:p>
        </w:tc>
        <w:tc>
          <w:tcPr>
            <w:tcW w:w="668" w:type="pct"/>
            <w:vAlign w:val="center"/>
          </w:tcPr>
          <w:p w14:paraId="55218163">
            <w:pPr>
              <w:widowControl/>
              <w:jc w:val="center"/>
              <w:textAlignment w:val="center"/>
              <w:rPr>
                <w:rFonts w:hint="eastAsia" w:ascii="宋体" w:hAnsi="宋体" w:cs="宋体"/>
                <w:kern w:val="0"/>
                <w:sz w:val="18"/>
                <w:szCs w:val="18"/>
              </w:rPr>
            </w:pPr>
            <w:r>
              <w:rPr>
                <w:rFonts w:hint="eastAsia" w:ascii="宋体" w:hAnsi="宋体" w:cs="宋体"/>
                <w:kern w:val="0"/>
                <w:sz w:val="18"/>
                <w:szCs w:val="18"/>
              </w:rPr>
              <w:t>52.19%</w:t>
            </w:r>
          </w:p>
        </w:tc>
        <w:tc>
          <w:tcPr>
            <w:tcW w:w="691" w:type="pct"/>
            <w:vAlign w:val="center"/>
          </w:tcPr>
          <w:p w14:paraId="648777A5">
            <w:pPr>
              <w:widowControl/>
              <w:jc w:val="center"/>
              <w:textAlignment w:val="center"/>
              <w:rPr>
                <w:rFonts w:hint="eastAsia" w:ascii="宋体" w:hAnsi="宋体" w:cs="宋体"/>
                <w:kern w:val="0"/>
                <w:sz w:val="18"/>
                <w:szCs w:val="18"/>
              </w:rPr>
            </w:pPr>
            <w:r>
              <w:rPr>
                <w:rFonts w:hint="eastAsia" w:ascii="宋体" w:hAnsi="宋体" w:cs="宋体"/>
                <w:kern w:val="0"/>
                <w:sz w:val="18"/>
                <w:szCs w:val="18"/>
              </w:rPr>
              <w:t>1,000.19</w:t>
            </w:r>
          </w:p>
        </w:tc>
        <w:tc>
          <w:tcPr>
            <w:tcW w:w="532" w:type="pct"/>
            <w:vAlign w:val="center"/>
          </w:tcPr>
          <w:p w14:paraId="49F21EEC">
            <w:pPr>
              <w:widowControl/>
              <w:jc w:val="center"/>
              <w:textAlignment w:val="center"/>
              <w:rPr>
                <w:rFonts w:hint="eastAsia" w:ascii="宋体" w:hAnsi="宋体" w:cs="宋体"/>
                <w:kern w:val="0"/>
                <w:sz w:val="18"/>
                <w:szCs w:val="18"/>
                <w:highlight w:val="yellow"/>
              </w:rPr>
            </w:pPr>
            <w:r>
              <w:rPr>
                <w:rFonts w:hint="eastAsia" w:ascii="宋体" w:hAnsi="宋体" w:cs="宋体"/>
                <w:kern w:val="0"/>
                <w:sz w:val="18"/>
                <w:szCs w:val="18"/>
              </w:rPr>
              <w:t>40,000</w:t>
            </w:r>
          </w:p>
        </w:tc>
        <w:tc>
          <w:tcPr>
            <w:tcW w:w="657" w:type="pct"/>
            <w:vAlign w:val="center"/>
          </w:tcPr>
          <w:p w14:paraId="5AC11F5F">
            <w:pPr>
              <w:widowControl/>
              <w:jc w:val="center"/>
              <w:textAlignment w:val="center"/>
              <w:rPr>
                <w:rFonts w:hint="eastAsia" w:ascii="宋体" w:hAnsi="宋体" w:cs="宋体"/>
                <w:kern w:val="0"/>
                <w:sz w:val="18"/>
                <w:szCs w:val="18"/>
                <w:highlight w:val="yellow"/>
              </w:rPr>
            </w:pPr>
            <w:r>
              <w:rPr>
                <w:rFonts w:hint="eastAsia" w:ascii="宋体" w:hAnsi="宋体" w:cs="宋体"/>
                <w:kern w:val="0"/>
                <w:sz w:val="18"/>
                <w:szCs w:val="18"/>
              </w:rPr>
              <w:t>16.58%</w:t>
            </w:r>
          </w:p>
        </w:tc>
        <w:tc>
          <w:tcPr>
            <w:tcW w:w="688" w:type="pct"/>
            <w:vAlign w:val="center"/>
          </w:tcPr>
          <w:p w14:paraId="432BAA90">
            <w:pPr>
              <w:widowControl/>
              <w:jc w:val="center"/>
              <w:textAlignment w:val="center"/>
              <w:rPr>
                <w:rFonts w:hint="eastAsia" w:ascii="宋体" w:hAnsi="宋体" w:cs="宋体"/>
                <w:kern w:val="0"/>
                <w:sz w:val="18"/>
                <w:szCs w:val="18"/>
              </w:rPr>
            </w:pPr>
            <w:r>
              <w:rPr>
                <w:rFonts w:hint="eastAsia" w:ascii="宋体" w:hAnsi="宋体" w:cs="宋体"/>
                <w:kern w:val="0"/>
                <w:sz w:val="18"/>
                <w:szCs w:val="18"/>
              </w:rPr>
              <w:t>2026.12.31</w:t>
            </w:r>
          </w:p>
        </w:tc>
        <w:tc>
          <w:tcPr>
            <w:tcW w:w="282" w:type="pct"/>
            <w:vAlign w:val="center"/>
          </w:tcPr>
          <w:p w14:paraId="09F66882">
            <w:pPr>
              <w:widowControl/>
              <w:jc w:val="center"/>
              <w:textAlignment w:val="center"/>
              <w:rPr>
                <w:rFonts w:hint="eastAsia" w:ascii="宋体" w:hAnsi="宋体" w:cs="宋体"/>
                <w:kern w:val="0"/>
                <w:sz w:val="18"/>
                <w:szCs w:val="18"/>
              </w:rPr>
            </w:pPr>
            <w:r>
              <w:rPr>
                <w:rFonts w:hint="eastAsia" w:ascii="宋体" w:hAnsi="宋体" w:cs="宋体"/>
                <w:kern w:val="0"/>
                <w:sz w:val="18"/>
                <w:szCs w:val="18"/>
              </w:rPr>
              <w:t>否</w:t>
            </w:r>
          </w:p>
        </w:tc>
        <w:tc>
          <w:tcPr>
            <w:tcW w:w="233" w:type="pct"/>
            <w:vAlign w:val="center"/>
          </w:tcPr>
          <w:p w14:paraId="3CEFC5EB">
            <w:pPr>
              <w:widowControl/>
              <w:jc w:val="center"/>
              <w:textAlignment w:val="center"/>
              <w:rPr>
                <w:rFonts w:hint="eastAsia" w:ascii="宋体" w:hAnsi="宋体" w:cs="宋体"/>
                <w:kern w:val="0"/>
                <w:sz w:val="18"/>
                <w:szCs w:val="18"/>
              </w:rPr>
            </w:pPr>
            <w:r>
              <w:rPr>
                <w:rFonts w:hint="eastAsia" w:ascii="宋体" w:hAnsi="宋体" w:cs="宋体"/>
                <w:kern w:val="0"/>
                <w:sz w:val="18"/>
                <w:szCs w:val="18"/>
              </w:rPr>
              <w:t>否</w:t>
            </w:r>
          </w:p>
        </w:tc>
      </w:tr>
      <w:tr w14:paraId="3FA1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18" w:type="pct"/>
            <w:gridSpan w:val="4"/>
            <w:vAlign w:val="center"/>
          </w:tcPr>
          <w:p w14:paraId="70CBFB81">
            <w:pPr>
              <w:widowControl/>
              <w:jc w:val="center"/>
              <w:textAlignment w:val="center"/>
              <w:rPr>
                <w:rFonts w:hint="eastAsia" w:ascii="宋体" w:hAnsi="宋体" w:cs="宋体"/>
                <w:kern w:val="0"/>
                <w:sz w:val="18"/>
                <w:szCs w:val="18"/>
              </w:rPr>
            </w:pPr>
            <w:r>
              <w:rPr>
                <w:rFonts w:hint="eastAsia" w:ascii="宋体" w:hAnsi="宋体" w:cs="宋体"/>
                <w:kern w:val="0"/>
                <w:sz w:val="18"/>
                <w:szCs w:val="18"/>
              </w:rPr>
              <w:t>总计</w:t>
            </w:r>
          </w:p>
        </w:tc>
        <w:tc>
          <w:tcPr>
            <w:tcW w:w="691" w:type="pct"/>
            <w:vAlign w:val="center"/>
          </w:tcPr>
          <w:p w14:paraId="6166A526">
            <w:pPr>
              <w:widowControl/>
              <w:jc w:val="center"/>
              <w:textAlignment w:val="center"/>
              <w:rPr>
                <w:rFonts w:hint="eastAsia" w:ascii="宋体" w:hAnsi="宋体" w:cs="宋体"/>
                <w:kern w:val="0"/>
                <w:sz w:val="18"/>
                <w:szCs w:val="18"/>
              </w:rPr>
            </w:pPr>
          </w:p>
        </w:tc>
        <w:tc>
          <w:tcPr>
            <w:tcW w:w="532" w:type="pct"/>
            <w:vAlign w:val="center"/>
          </w:tcPr>
          <w:p w14:paraId="02852CB2">
            <w:pPr>
              <w:widowControl/>
              <w:jc w:val="center"/>
              <w:textAlignment w:val="center"/>
              <w:rPr>
                <w:rFonts w:hint="eastAsia" w:ascii="宋体" w:hAnsi="宋体" w:cs="宋体"/>
                <w:kern w:val="0"/>
                <w:sz w:val="18"/>
                <w:szCs w:val="18"/>
              </w:rPr>
            </w:pPr>
          </w:p>
        </w:tc>
        <w:tc>
          <w:tcPr>
            <w:tcW w:w="657" w:type="pct"/>
            <w:vAlign w:val="center"/>
          </w:tcPr>
          <w:p w14:paraId="5C9CB825">
            <w:pPr>
              <w:widowControl/>
              <w:jc w:val="center"/>
              <w:textAlignment w:val="center"/>
              <w:rPr>
                <w:rFonts w:hint="eastAsia" w:ascii="宋体" w:hAnsi="宋体" w:cs="宋体"/>
                <w:kern w:val="0"/>
                <w:sz w:val="18"/>
                <w:szCs w:val="18"/>
              </w:rPr>
            </w:pPr>
          </w:p>
        </w:tc>
        <w:tc>
          <w:tcPr>
            <w:tcW w:w="688" w:type="pct"/>
            <w:vAlign w:val="center"/>
          </w:tcPr>
          <w:p w14:paraId="1FF17EB1">
            <w:pPr>
              <w:widowControl/>
              <w:jc w:val="center"/>
              <w:textAlignment w:val="center"/>
              <w:rPr>
                <w:rFonts w:hint="eastAsia" w:ascii="宋体" w:hAnsi="宋体" w:cs="宋体"/>
                <w:kern w:val="0"/>
                <w:sz w:val="18"/>
                <w:szCs w:val="18"/>
              </w:rPr>
            </w:pPr>
          </w:p>
        </w:tc>
        <w:tc>
          <w:tcPr>
            <w:tcW w:w="282" w:type="pct"/>
            <w:vAlign w:val="center"/>
          </w:tcPr>
          <w:p w14:paraId="576631F8">
            <w:pPr>
              <w:widowControl/>
              <w:jc w:val="center"/>
              <w:textAlignment w:val="center"/>
              <w:rPr>
                <w:rFonts w:hint="eastAsia" w:ascii="宋体" w:hAnsi="宋体" w:cs="宋体"/>
                <w:kern w:val="0"/>
                <w:sz w:val="18"/>
                <w:szCs w:val="18"/>
              </w:rPr>
            </w:pPr>
          </w:p>
        </w:tc>
        <w:tc>
          <w:tcPr>
            <w:tcW w:w="233" w:type="pct"/>
            <w:vAlign w:val="center"/>
          </w:tcPr>
          <w:p w14:paraId="4692CB0C">
            <w:pPr>
              <w:widowControl/>
              <w:jc w:val="center"/>
              <w:textAlignment w:val="center"/>
              <w:rPr>
                <w:rFonts w:hint="eastAsia" w:ascii="宋体" w:hAnsi="宋体" w:cs="宋体"/>
                <w:kern w:val="0"/>
                <w:sz w:val="18"/>
                <w:szCs w:val="18"/>
              </w:rPr>
            </w:pPr>
          </w:p>
        </w:tc>
      </w:tr>
    </w:tbl>
    <w:p w14:paraId="6F5A3098">
      <w:pPr>
        <w:pStyle w:val="23"/>
        <w:spacing w:line="560" w:lineRule="exact"/>
        <w:rPr>
          <w:rFonts w:hint="eastAsia" w:hAnsi="宋体"/>
          <w:color w:val="auto"/>
        </w:rPr>
      </w:pPr>
    </w:p>
    <w:p w14:paraId="645A590E">
      <w:pPr>
        <w:autoSpaceDE w:val="0"/>
        <w:autoSpaceDN w:val="0"/>
        <w:adjustRightInd w:val="0"/>
        <w:spacing w:line="560" w:lineRule="exact"/>
      </w:pPr>
      <w:r>
        <w:rPr>
          <w:rFonts w:hint="eastAsia" w:ascii="宋体" w:hAnsi="宋体" w:cs="宋体"/>
          <w:b/>
          <w:sz w:val="24"/>
          <w:szCs w:val="24"/>
        </w:rPr>
        <w:t>二、被担保人基本情况</w:t>
      </w:r>
    </w:p>
    <w:p w14:paraId="31F77BD2">
      <w:pPr>
        <w:adjustRightInd w:val="0"/>
        <w:snapToGrid w:val="0"/>
        <w:spacing w:line="560" w:lineRule="exact"/>
        <w:ind w:firstLine="480" w:firstLineChars="200"/>
        <w:outlineLvl w:val="1"/>
        <w:rPr>
          <w:rFonts w:hint="eastAsia" w:ascii="仿宋" w:hAnsi="仿宋" w:eastAsia="仿宋" w:cstheme="minorBidi"/>
          <w:sz w:val="24"/>
          <w:szCs w:val="24"/>
        </w:rPr>
      </w:pPr>
      <w:r>
        <w:rPr>
          <w:rFonts w:hint="eastAsia" w:ascii="仿宋" w:hAnsi="仿宋" w:eastAsia="仿宋" w:cstheme="minorBidi"/>
          <w:sz w:val="24"/>
          <w:szCs w:val="24"/>
        </w:rPr>
        <w:t>（一）云变电气</w:t>
      </w:r>
    </w:p>
    <w:p w14:paraId="67409EAD">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 xml:space="preserve">公司名称：云南变压器电气股份有限公司 </w:t>
      </w:r>
    </w:p>
    <w:p w14:paraId="2773F138">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统一社会信用代码：91530000713402501X</w:t>
      </w:r>
    </w:p>
    <w:p w14:paraId="42733C9A">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成立时间：1999年01月23日</w:t>
      </w:r>
    </w:p>
    <w:p w14:paraId="5C57A89B">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 xml:space="preserve">注册地点：中国（云南）自由贸易试验区昆明片区经开区洛羊街道办事处拓翔路212号 </w:t>
      </w:r>
    </w:p>
    <w:p w14:paraId="2F83742C">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法定代表人：肖斌</w:t>
      </w:r>
    </w:p>
    <w:p w14:paraId="56FFDB0C">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注册资本：10041.3641万人民币</w:t>
      </w:r>
    </w:p>
    <w:p w14:paraId="1774CD31">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经营范围：各种变压器的生产制造、销售；变压器产品生产所需的原辅助材料、电磁线、硅钢片、机械设备、仪器仪表、备品、备件、零配件、高低压开关柜、箱式变电站、电线电缆及相关技术，变压器修理，电子电器产品；货物进出口、技术进出口业务；电力工程施工总承包；电力设施承装（修、试）业务。</w:t>
      </w:r>
    </w:p>
    <w:p w14:paraId="485F8225">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主要股东情况：重庆望变电气（集团）股份有限公司（100%）</w:t>
      </w:r>
    </w:p>
    <w:p w14:paraId="78064A13">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关联关系：云变电气系公司全资子公司。</w:t>
      </w:r>
    </w:p>
    <w:p w14:paraId="2F1C725C">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最近一年及一期的财务数据：</w:t>
      </w:r>
    </w:p>
    <w:p w14:paraId="2B46FBC0">
      <w:pPr>
        <w:jc w:val="right"/>
        <w:rPr>
          <w:rFonts w:hint="eastAsia" w:ascii="仿宋" w:hAnsi="仿宋" w:eastAsia="仿宋"/>
          <w:color w:val="000000"/>
          <w:szCs w:val="21"/>
        </w:rPr>
      </w:pPr>
      <w:r>
        <w:rPr>
          <w:rFonts w:hint="eastAsia" w:ascii="仿宋" w:hAnsi="仿宋" w:eastAsia="仿宋"/>
          <w:color w:val="000000"/>
          <w:szCs w:val="21"/>
        </w:rPr>
        <w:t>单位：万元  币种：人民币</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3"/>
        <w:gridCol w:w="3417"/>
        <w:gridCol w:w="2922"/>
      </w:tblGrid>
      <w:tr w14:paraId="6AA9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70ADFBFD">
            <w:pPr>
              <w:spacing w:line="400" w:lineRule="exact"/>
              <w:jc w:val="center"/>
              <w:rPr>
                <w:rFonts w:hint="eastAsia" w:ascii="宋体" w:hAnsi="宋体" w:cs="宋体"/>
                <w:b/>
                <w:bCs/>
                <w:color w:val="000000"/>
                <w:sz w:val="18"/>
                <w:szCs w:val="18"/>
              </w:rPr>
            </w:pPr>
            <w:r>
              <w:rPr>
                <w:rFonts w:hint="eastAsia" w:ascii="宋体" w:hAnsi="宋体" w:cs="宋体"/>
                <w:b/>
                <w:bCs/>
                <w:sz w:val="18"/>
                <w:szCs w:val="18"/>
              </w:rPr>
              <w:t>财务指标</w:t>
            </w:r>
          </w:p>
        </w:tc>
        <w:tc>
          <w:tcPr>
            <w:tcW w:w="2005" w:type="pct"/>
            <w:vAlign w:val="center"/>
          </w:tcPr>
          <w:p w14:paraId="4359F6AE">
            <w:pPr>
              <w:spacing w:line="400" w:lineRule="exact"/>
              <w:jc w:val="center"/>
              <w:rPr>
                <w:rFonts w:hint="eastAsia" w:ascii="宋体" w:hAnsi="宋体" w:cs="宋体"/>
                <w:b/>
                <w:bCs/>
                <w:color w:val="000000"/>
                <w:sz w:val="18"/>
                <w:szCs w:val="18"/>
              </w:rPr>
            </w:pPr>
            <w:r>
              <w:rPr>
                <w:rFonts w:hint="eastAsia" w:ascii="宋体" w:hAnsi="宋体" w:cs="宋体"/>
                <w:b/>
                <w:bCs/>
                <w:sz w:val="18"/>
                <w:szCs w:val="18"/>
              </w:rPr>
              <w:t>2025年9月30日（未经审计）</w:t>
            </w:r>
          </w:p>
        </w:tc>
        <w:tc>
          <w:tcPr>
            <w:tcW w:w="1714" w:type="pct"/>
            <w:vAlign w:val="center"/>
          </w:tcPr>
          <w:p w14:paraId="4FE65678">
            <w:pPr>
              <w:spacing w:line="400" w:lineRule="exact"/>
              <w:jc w:val="center"/>
              <w:rPr>
                <w:rFonts w:hint="eastAsia" w:ascii="宋体" w:hAnsi="宋体" w:cs="宋体"/>
                <w:b/>
                <w:bCs/>
                <w:color w:val="000000"/>
                <w:sz w:val="18"/>
                <w:szCs w:val="18"/>
              </w:rPr>
            </w:pPr>
            <w:r>
              <w:rPr>
                <w:rFonts w:hint="eastAsia" w:ascii="宋体" w:hAnsi="宋体" w:cs="宋体"/>
                <w:b/>
                <w:bCs/>
                <w:sz w:val="18"/>
                <w:szCs w:val="18"/>
              </w:rPr>
              <w:t>2024年12月31日(经审计)</w:t>
            </w:r>
          </w:p>
        </w:tc>
      </w:tr>
      <w:tr w14:paraId="66A7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6C3430CB">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资产总额</w:t>
            </w:r>
          </w:p>
        </w:tc>
        <w:tc>
          <w:tcPr>
            <w:tcW w:w="2005" w:type="pct"/>
          </w:tcPr>
          <w:p w14:paraId="45C72957">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203,825.30</w:t>
            </w:r>
          </w:p>
        </w:tc>
        <w:tc>
          <w:tcPr>
            <w:tcW w:w="1714" w:type="pct"/>
          </w:tcPr>
          <w:p w14:paraId="74A8E40F">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175,671.19</w:t>
            </w:r>
          </w:p>
        </w:tc>
      </w:tr>
      <w:tr w14:paraId="3F04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68D44EF1">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负债总额</w:t>
            </w:r>
          </w:p>
        </w:tc>
        <w:tc>
          <w:tcPr>
            <w:tcW w:w="2005" w:type="pct"/>
          </w:tcPr>
          <w:p w14:paraId="6B9D9AC0">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138,571.00</w:t>
            </w:r>
          </w:p>
        </w:tc>
        <w:tc>
          <w:tcPr>
            <w:tcW w:w="1714" w:type="pct"/>
          </w:tcPr>
          <w:p w14:paraId="595A854E">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113,687.77</w:t>
            </w:r>
          </w:p>
        </w:tc>
      </w:tr>
      <w:tr w14:paraId="3972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49BC4780">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净资产</w:t>
            </w:r>
          </w:p>
        </w:tc>
        <w:tc>
          <w:tcPr>
            <w:tcW w:w="2005" w:type="pct"/>
          </w:tcPr>
          <w:p w14:paraId="1289C10A">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65,254.30</w:t>
            </w:r>
          </w:p>
        </w:tc>
        <w:tc>
          <w:tcPr>
            <w:tcW w:w="1714" w:type="pct"/>
          </w:tcPr>
          <w:p w14:paraId="6050DB18">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61,983.42</w:t>
            </w:r>
          </w:p>
        </w:tc>
      </w:tr>
      <w:tr w14:paraId="036E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33B50CF5">
            <w:pPr>
              <w:spacing w:line="400" w:lineRule="exact"/>
              <w:jc w:val="left"/>
              <w:rPr>
                <w:rFonts w:hint="eastAsia" w:ascii="宋体" w:hAnsi="宋体" w:cs="宋体"/>
                <w:b/>
                <w:bCs/>
                <w:color w:val="000000"/>
                <w:sz w:val="18"/>
                <w:szCs w:val="18"/>
              </w:rPr>
            </w:pPr>
          </w:p>
        </w:tc>
        <w:tc>
          <w:tcPr>
            <w:tcW w:w="2005" w:type="pct"/>
            <w:vAlign w:val="center"/>
          </w:tcPr>
          <w:p w14:paraId="099AE606">
            <w:pPr>
              <w:spacing w:line="400" w:lineRule="exact"/>
              <w:jc w:val="center"/>
              <w:rPr>
                <w:rFonts w:hint="eastAsia" w:ascii="宋体" w:hAnsi="宋体" w:cs="宋体"/>
                <w:b/>
                <w:bCs/>
                <w:color w:val="000000"/>
                <w:sz w:val="18"/>
                <w:szCs w:val="18"/>
              </w:rPr>
            </w:pPr>
            <w:r>
              <w:rPr>
                <w:rFonts w:hint="eastAsia" w:ascii="宋体" w:hAnsi="宋体" w:cs="宋体"/>
                <w:b/>
                <w:bCs/>
                <w:color w:val="000000"/>
                <w:sz w:val="18"/>
                <w:szCs w:val="18"/>
              </w:rPr>
              <w:t>2025年1-9月（未经审计）</w:t>
            </w:r>
          </w:p>
        </w:tc>
        <w:tc>
          <w:tcPr>
            <w:tcW w:w="1714" w:type="pct"/>
            <w:vAlign w:val="center"/>
          </w:tcPr>
          <w:p w14:paraId="5B064D77">
            <w:pPr>
              <w:spacing w:line="400" w:lineRule="exact"/>
              <w:jc w:val="center"/>
              <w:rPr>
                <w:rFonts w:hint="eastAsia" w:ascii="宋体" w:hAnsi="宋体" w:cs="宋体"/>
                <w:b/>
                <w:bCs/>
                <w:color w:val="000000"/>
                <w:sz w:val="18"/>
                <w:szCs w:val="18"/>
              </w:rPr>
            </w:pPr>
            <w:r>
              <w:rPr>
                <w:rFonts w:hint="eastAsia" w:ascii="宋体" w:hAnsi="宋体" w:cs="宋体"/>
                <w:b/>
                <w:bCs/>
                <w:color w:val="000000"/>
                <w:sz w:val="18"/>
                <w:szCs w:val="18"/>
              </w:rPr>
              <w:t>2024年4-12月（经审计）</w:t>
            </w:r>
          </w:p>
        </w:tc>
      </w:tr>
      <w:tr w14:paraId="67C2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7AE549A7">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营业收入</w:t>
            </w:r>
          </w:p>
        </w:tc>
        <w:tc>
          <w:tcPr>
            <w:tcW w:w="2005" w:type="pct"/>
          </w:tcPr>
          <w:p w14:paraId="120A1423">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89,093.03</w:t>
            </w:r>
          </w:p>
        </w:tc>
        <w:tc>
          <w:tcPr>
            <w:tcW w:w="1714" w:type="pct"/>
          </w:tcPr>
          <w:p w14:paraId="24C3F56B">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 xml:space="preserve"> 82,015.42 </w:t>
            </w:r>
          </w:p>
        </w:tc>
      </w:tr>
      <w:tr w14:paraId="4CA3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5E6B4242">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净利润</w:t>
            </w:r>
          </w:p>
        </w:tc>
        <w:tc>
          <w:tcPr>
            <w:tcW w:w="2005" w:type="pct"/>
          </w:tcPr>
          <w:p w14:paraId="36591F43">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 xml:space="preserve"> 3,718.50 </w:t>
            </w:r>
          </w:p>
        </w:tc>
        <w:tc>
          <w:tcPr>
            <w:tcW w:w="1714" w:type="pct"/>
          </w:tcPr>
          <w:p w14:paraId="07817AB2">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 xml:space="preserve"> 6,493.51 </w:t>
            </w:r>
          </w:p>
        </w:tc>
      </w:tr>
    </w:tbl>
    <w:p w14:paraId="610D6AC7">
      <w:pPr>
        <w:adjustRightInd w:val="0"/>
        <w:snapToGrid w:val="0"/>
        <w:spacing w:line="560" w:lineRule="exact"/>
        <w:ind w:firstLine="480" w:firstLineChars="200"/>
        <w:outlineLvl w:val="1"/>
        <w:rPr>
          <w:rFonts w:hint="eastAsia" w:ascii="仿宋" w:hAnsi="仿宋" w:eastAsia="仿宋" w:cstheme="minorBidi"/>
          <w:sz w:val="24"/>
          <w:szCs w:val="24"/>
        </w:rPr>
      </w:pPr>
      <w:r>
        <w:rPr>
          <w:rFonts w:hint="eastAsia" w:ascii="仿宋" w:hAnsi="仿宋" w:eastAsia="仿宋" w:cstheme="minorBidi"/>
          <w:sz w:val="24"/>
          <w:szCs w:val="24"/>
        </w:rPr>
        <w:t>（二）望来充</w:t>
      </w:r>
    </w:p>
    <w:p w14:paraId="611053DA">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公司名称：</w:t>
      </w:r>
      <w:bookmarkStart w:id="3" w:name="OLE_LINK11"/>
      <w:r>
        <w:rPr>
          <w:rFonts w:hint="eastAsia" w:ascii="仿宋" w:hAnsi="仿宋" w:eastAsia="仿宋" w:cstheme="minorBidi"/>
          <w:sz w:val="24"/>
          <w:szCs w:val="24"/>
        </w:rPr>
        <w:t>望来充（重庆）科技有限责任公司</w:t>
      </w:r>
      <w:bookmarkEnd w:id="3"/>
      <w:r>
        <w:rPr>
          <w:rFonts w:hint="eastAsia" w:ascii="仿宋" w:hAnsi="仿宋" w:eastAsia="仿宋" w:cstheme="minorBidi"/>
          <w:sz w:val="24"/>
          <w:szCs w:val="24"/>
        </w:rPr>
        <w:t xml:space="preserve"> </w:t>
      </w:r>
    </w:p>
    <w:p w14:paraId="70C64287">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统一社会信用代码：91500103MAEQ9Y6M66</w:t>
      </w:r>
    </w:p>
    <w:p w14:paraId="72DA6372">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成立时间：2025年07月21日</w:t>
      </w:r>
    </w:p>
    <w:p w14:paraId="60707ACC">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 xml:space="preserve">注册地点：重庆市渝中区石油路街道经纬大道789号10-6#（自编号14号） </w:t>
      </w:r>
    </w:p>
    <w:p w14:paraId="3C32DFBF">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法定代表人：杨耀</w:t>
      </w:r>
    </w:p>
    <w:p w14:paraId="1707DF1E">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注册资本：5000万人民币</w:t>
      </w:r>
    </w:p>
    <w:p w14:paraId="50B942FE">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经营范围：许可项目：道路货物运输（不含危险货物）；道路危险货物运输；输电、供电、受电电力设施的安装、维修和试验；供电业务。（依法须经批准的项目，经相关部门批准后方可开展经营活动，具体经营项目以相关部门批准文件或许可证件为准） ；一般项目：软件开发；技术服务、技术开发、技术咨询、技术交流、技术转让、技术推广；电动汽车充电基础设施运营；机动车充电销售；充电控制设备租赁；充电桩销售；集中式快速充电站；输配电及控制设备制造；智能输配电及控制设备销售；新能源汽车电附件销售；新能源汽车换电设施销售；配电开关控制设备销售；配电开关控制设备研发；光伏设备及元器件销售；数字技术服务；信息系统运行维护服务；信息技术咨询服务；软件销售；基于云平台的业务外包服务；电池销售；电线、电缆经营；电力行业高效节能技术研发；停车场服务；租赁服务（不含许可类租赁服务）；电力电子元器件销售；节能管理服务；太阳能发电技术服务；人工智能硬件销售；先进电力电子装置销售；互联网数据服务；大数据服务；人工智能应用软件开发；网络与信息安全软件开发；物联网技术研发；物联网应用服务；物联网设备销售；互联网销售（除销售需要许可的商品）；信息系统集成服务；运行效能评估服务。（除依法须经批准的项目外，凭营业执照依法自主开展经营活动）。</w:t>
      </w:r>
    </w:p>
    <w:p w14:paraId="32FC64B0">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主要股东情况：重庆望变电气（集团）股份有限公司（100%）</w:t>
      </w:r>
    </w:p>
    <w:p w14:paraId="1907C010">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关联关系：望来充系公司全资子公司。</w:t>
      </w:r>
    </w:p>
    <w:p w14:paraId="3DD52BD4">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最近一期财务数据（含下属子公司）：</w:t>
      </w:r>
    </w:p>
    <w:p w14:paraId="04A19254">
      <w:pPr>
        <w:jc w:val="right"/>
        <w:rPr>
          <w:rFonts w:hint="eastAsia" w:ascii="仿宋" w:hAnsi="仿宋" w:eastAsia="仿宋"/>
          <w:color w:val="000000"/>
          <w:sz w:val="18"/>
          <w:szCs w:val="18"/>
        </w:rPr>
      </w:pPr>
      <w:r>
        <w:rPr>
          <w:rFonts w:hint="eastAsia" w:ascii="仿宋" w:hAnsi="仿宋" w:eastAsia="仿宋"/>
          <w:color w:val="000000"/>
          <w:szCs w:val="21"/>
        </w:rPr>
        <w:t>单位：万元  币种：人民币</w:t>
      </w:r>
    </w:p>
    <w:tbl>
      <w:tblPr>
        <w:tblStyle w:val="18"/>
        <w:tblW w:w="43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3"/>
        <w:gridCol w:w="3921"/>
      </w:tblGrid>
      <w:tr w14:paraId="7A84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2373" w:type="pct"/>
            <w:vAlign w:val="center"/>
          </w:tcPr>
          <w:p w14:paraId="677BB5C2">
            <w:pPr>
              <w:spacing w:line="400" w:lineRule="exact"/>
              <w:jc w:val="center"/>
              <w:rPr>
                <w:rFonts w:hint="eastAsia" w:ascii="宋体" w:hAnsi="宋体" w:cs="宋体"/>
                <w:b/>
                <w:bCs/>
                <w:color w:val="000000"/>
                <w:sz w:val="18"/>
                <w:szCs w:val="18"/>
              </w:rPr>
            </w:pPr>
            <w:r>
              <w:rPr>
                <w:rFonts w:hint="eastAsia" w:ascii="宋体" w:hAnsi="宋体" w:cs="宋体"/>
                <w:b/>
                <w:bCs/>
                <w:sz w:val="18"/>
                <w:szCs w:val="18"/>
              </w:rPr>
              <w:t>财务指标</w:t>
            </w:r>
          </w:p>
        </w:tc>
        <w:tc>
          <w:tcPr>
            <w:tcW w:w="2626" w:type="pct"/>
            <w:vAlign w:val="center"/>
          </w:tcPr>
          <w:p w14:paraId="269172F4">
            <w:pPr>
              <w:spacing w:line="400" w:lineRule="exact"/>
              <w:jc w:val="center"/>
              <w:rPr>
                <w:rFonts w:hint="eastAsia" w:ascii="宋体" w:hAnsi="宋体" w:cs="宋体"/>
                <w:b/>
                <w:bCs/>
                <w:color w:val="000000"/>
                <w:sz w:val="18"/>
                <w:szCs w:val="18"/>
              </w:rPr>
            </w:pPr>
            <w:r>
              <w:rPr>
                <w:rFonts w:hint="eastAsia" w:ascii="宋体" w:hAnsi="宋体" w:cs="宋体"/>
                <w:b/>
                <w:bCs/>
                <w:sz w:val="18"/>
                <w:szCs w:val="18"/>
              </w:rPr>
              <w:t>2025年9月30日（未经审计）</w:t>
            </w:r>
          </w:p>
        </w:tc>
      </w:tr>
      <w:tr w14:paraId="10F3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2373" w:type="pct"/>
            <w:vAlign w:val="center"/>
          </w:tcPr>
          <w:p w14:paraId="38ED5D26">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资产总额</w:t>
            </w:r>
          </w:p>
        </w:tc>
        <w:tc>
          <w:tcPr>
            <w:tcW w:w="2626" w:type="pct"/>
          </w:tcPr>
          <w:p w14:paraId="2C03CD38">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499.79</w:t>
            </w:r>
          </w:p>
        </w:tc>
      </w:tr>
      <w:tr w14:paraId="1DD9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2373" w:type="pct"/>
            <w:vAlign w:val="center"/>
          </w:tcPr>
          <w:p w14:paraId="75ECFB2D">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负债总额</w:t>
            </w:r>
          </w:p>
        </w:tc>
        <w:tc>
          <w:tcPr>
            <w:tcW w:w="2626" w:type="pct"/>
          </w:tcPr>
          <w:p w14:paraId="7FB10235">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0.87</w:t>
            </w:r>
          </w:p>
        </w:tc>
      </w:tr>
      <w:tr w14:paraId="7D37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2373" w:type="pct"/>
            <w:vAlign w:val="center"/>
          </w:tcPr>
          <w:p w14:paraId="471D48AA">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净资产</w:t>
            </w:r>
          </w:p>
        </w:tc>
        <w:tc>
          <w:tcPr>
            <w:tcW w:w="2626" w:type="pct"/>
          </w:tcPr>
          <w:p w14:paraId="4964DBA2">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498.91</w:t>
            </w:r>
          </w:p>
        </w:tc>
      </w:tr>
      <w:tr w14:paraId="5959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2373" w:type="pct"/>
            <w:vAlign w:val="center"/>
          </w:tcPr>
          <w:p w14:paraId="57604379">
            <w:pPr>
              <w:spacing w:line="400" w:lineRule="exact"/>
              <w:jc w:val="left"/>
              <w:rPr>
                <w:rFonts w:hint="eastAsia" w:ascii="宋体" w:hAnsi="宋体" w:cs="宋体"/>
                <w:b/>
                <w:bCs/>
                <w:color w:val="000000"/>
                <w:sz w:val="18"/>
                <w:szCs w:val="18"/>
              </w:rPr>
            </w:pPr>
          </w:p>
        </w:tc>
        <w:tc>
          <w:tcPr>
            <w:tcW w:w="2626" w:type="pct"/>
            <w:vAlign w:val="center"/>
          </w:tcPr>
          <w:p w14:paraId="4508EA0B">
            <w:pPr>
              <w:spacing w:line="400" w:lineRule="exact"/>
              <w:jc w:val="center"/>
              <w:rPr>
                <w:rFonts w:hint="eastAsia" w:ascii="宋体" w:hAnsi="宋体" w:cs="宋体"/>
                <w:b/>
                <w:bCs/>
                <w:color w:val="000000"/>
                <w:sz w:val="18"/>
                <w:szCs w:val="18"/>
              </w:rPr>
            </w:pPr>
            <w:r>
              <w:rPr>
                <w:rFonts w:hint="eastAsia" w:ascii="宋体" w:hAnsi="宋体" w:cs="宋体"/>
                <w:b/>
                <w:bCs/>
                <w:color w:val="000000"/>
                <w:sz w:val="18"/>
                <w:szCs w:val="18"/>
              </w:rPr>
              <w:t>2025年1-9月（未经审计）</w:t>
            </w:r>
          </w:p>
        </w:tc>
      </w:tr>
      <w:tr w14:paraId="07E3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2373" w:type="pct"/>
            <w:vAlign w:val="center"/>
          </w:tcPr>
          <w:p w14:paraId="674A8694">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营业收入</w:t>
            </w:r>
          </w:p>
        </w:tc>
        <w:tc>
          <w:tcPr>
            <w:tcW w:w="2626" w:type="pct"/>
          </w:tcPr>
          <w:p w14:paraId="30DE38F5">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 xml:space="preserve"> -   </w:t>
            </w:r>
          </w:p>
        </w:tc>
      </w:tr>
      <w:tr w14:paraId="5AD0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2373" w:type="pct"/>
            <w:vAlign w:val="center"/>
          </w:tcPr>
          <w:p w14:paraId="3515DDAC">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净利润</w:t>
            </w:r>
          </w:p>
        </w:tc>
        <w:tc>
          <w:tcPr>
            <w:tcW w:w="2626" w:type="pct"/>
          </w:tcPr>
          <w:p w14:paraId="7808960F">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-1.09</w:t>
            </w:r>
          </w:p>
        </w:tc>
      </w:tr>
    </w:tbl>
    <w:p w14:paraId="6BA999D7">
      <w:pPr>
        <w:adjustRightInd w:val="0"/>
        <w:snapToGrid w:val="0"/>
        <w:spacing w:line="560" w:lineRule="exact"/>
        <w:ind w:firstLine="480" w:firstLineChars="200"/>
        <w:outlineLvl w:val="1"/>
        <w:rPr>
          <w:rFonts w:hint="eastAsia" w:ascii="仿宋" w:hAnsi="仿宋" w:eastAsia="仿宋" w:cstheme="minorBidi"/>
          <w:sz w:val="24"/>
          <w:szCs w:val="24"/>
        </w:rPr>
      </w:pPr>
      <w:r>
        <w:rPr>
          <w:rFonts w:hint="eastAsia" w:ascii="仿宋" w:hAnsi="仿宋" w:eastAsia="仿宋" w:cstheme="minorBidi"/>
          <w:sz w:val="24"/>
          <w:szCs w:val="24"/>
        </w:rPr>
        <w:t>（三）惠泽电器</w:t>
      </w:r>
    </w:p>
    <w:p w14:paraId="50F7D327">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公司名称：重庆惠泽电器有限公司</w:t>
      </w:r>
    </w:p>
    <w:p w14:paraId="7D2B30FF">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统一社会信用代码：91500115745302994P</w:t>
      </w:r>
    </w:p>
    <w:p w14:paraId="5568A59F">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成立时间：2002年11月15日</w:t>
      </w:r>
    </w:p>
    <w:p w14:paraId="5BCE53E3">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注册地：重庆市长寿区凤城轻化路（彭家坪）</w:t>
      </w:r>
    </w:p>
    <w:p w14:paraId="780A28EC">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主要办公地点：重庆市长寿区凤城轻化路（彭家坪）</w:t>
      </w:r>
    </w:p>
    <w:p w14:paraId="436D6E0A">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法定代表人：皮统政</w:t>
      </w:r>
    </w:p>
    <w:p w14:paraId="37141C3E">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注册资本：4000万人民币</w:t>
      </w:r>
    </w:p>
    <w:p w14:paraId="1810EE9B">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经营范围：许可项目：建设工程施工，输电、供电、受电电力设施的安装、维修和试验（依法须经批准的项目，经相关部门批准后方可开展经营活动，具体经营项目以相关部门批准文件或许可证件为准）；一般项目：制造、销售：开关柜屏、变压器、箱变外壳、电线；修理变压器；输配电及控制设备制造、安装、修试、运维；普通机械设备加工；水利电力工程安装及技术咨询；销售：建材；再生资源回收、加工（不含固体废物、危险废物、报废汽车等需经相关部门批准的项目），磁性材料销售（除依法须经批准的项目外，凭营业执照依法自主开展经营活动）。</w:t>
      </w:r>
    </w:p>
    <w:p w14:paraId="2D135E29">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股东情况：重庆望变电气（集团）股份有限公司（100%）</w:t>
      </w:r>
    </w:p>
    <w:p w14:paraId="4AFF5A3D">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关联关系：惠泽电器系公司全资子公司。</w:t>
      </w:r>
    </w:p>
    <w:p w14:paraId="6CAA9D5C">
      <w:pPr>
        <w:adjustRightInd w:val="0"/>
        <w:snapToGrid w:val="0"/>
        <w:spacing w:line="560" w:lineRule="exact"/>
        <w:ind w:firstLine="480" w:firstLineChars="200"/>
        <w:rPr>
          <w:rFonts w:hint="eastAsia" w:ascii="仿宋" w:hAnsi="仿宋" w:eastAsia="仿宋" w:cstheme="minorBidi"/>
          <w:sz w:val="24"/>
          <w:szCs w:val="24"/>
        </w:rPr>
      </w:pPr>
      <w:r>
        <w:rPr>
          <w:rFonts w:hint="eastAsia" w:ascii="仿宋" w:hAnsi="仿宋" w:eastAsia="仿宋" w:cstheme="minorBidi"/>
          <w:sz w:val="24"/>
          <w:szCs w:val="24"/>
        </w:rPr>
        <w:t>最近一年及一期主要财务指标如下：</w:t>
      </w:r>
    </w:p>
    <w:p w14:paraId="1F7E74A0">
      <w:pPr>
        <w:jc w:val="right"/>
        <w:rPr>
          <w:rFonts w:hint="eastAsia" w:ascii="仿宋" w:hAnsi="仿宋" w:eastAsia="仿宋"/>
          <w:color w:val="000000"/>
          <w:sz w:val="24"/>
          <w:szCs w:val="36"/>
        </w:rPr>
      </w:pPr>
      <w:r>
        <w:rPr>
          <w:rFonts w:hint="eastAsia" w:ascii="仿宋" w:hAnsi="仿宋" w:eastAsia="仿宋"/>
          <w:color w:val="000000"/>
          <w:szCs w:val="21"/>
        </w:rPr>
        <w:t>单位：万元  币种：人民币</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3"/>
        <w:gridCol w:w="3417"/>
        <w:gridCol w:w="2922"/>
      </w:tblGrid>
      <w:tr w14:paraId="2F7C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7BC4B460">
            <w:pPr>
              <w:spacing w:line="400" w:lineRule="exact"/>
              <w:jc w:val="center"/>
              <w:rPr>
                <w:rFonts w:hint="eastAsia" w:ascii="宋体" w:hAnsi="宋体" w:cs="宋体"/>
                <w:b/>
                <w:bCs/>
                <w:color w:val="000000"/>
                <w:sz w:val="18"/>
                <w:szCs w:val="18"/>
              </w:rPr>
            </w:pPr>
            <w:r>
              <w:rPr>
                <w:rFonts w:hint="eastAsia" w:ascii="宋体" w:hAnsi="宋体" w:cs="宋体"/>
                <w:b/>
                <w:bCs/>
                <w:sz w:val="18"/>
                <w:szCs w:val="18"/>
              </w:rPr>
              <w:t>财务指标</w:t>
            </w:r>
          </w:p>
        </w:tc>
        <w:tc>
          <w:tcPr>
            <w:tcW w:w="2005" w:type="pct"/>
            <w:vAlign w:val="center"/>
          </w:tcPr>
          <w:p w14:paraId="5FBFADFB">
            <w:pPr>
              <w:spacing w:line="400" w:lineRule="exact"/>
              <w:jc w:val="center"/>
              <w:rPr>
                <w:rFonts w:hint="eastAsia" w:ascii="宋体" w:hAnsi="宋体" w:cs="宋体"/>
                <w:b/>
                <w:bCs/>
                <w:color w:val="000000"/>
                <w:sz w:val="18"/>
                <w:szCs w:val="18"/>
              </w:rPr>
            </w:pPr>
            <w:r>
              <w:rPr>
                <w:rFonts w:hint="eastAsia" w:ascii="宋体" w:hAnsi="宋体" w:cs="宋体"/>
                <w:b/>
                <w:bCs/>
                <w:sz w:val="18"/>
                <w:szCs w:val="18"/>
              </w:rPr>
              <w:t>2025年9月30日（未经审计）</w:t>
            </w:r>
          </w:p>
        </w:tc>
        <w:tc>
          <w:tcPr>
            <w:tcW w:w="1714" w:type="pct"/>
            <w:vAlign w:val="center"/>
          </w:tcPr>
          <w:p w14:paraId="7DE4E3D3">
            <w:pPr>
              <w:spacing w:line="400" w:lineRule="exact"/>
              <w:jc w:val="center"/>
              <w:rPr>
                <w:rFonts w:hint="eastAsia" w:ascii="宋体" w:hAnsi="宋体" w:cs="宋体"/>
                <w:b/>
                <w:bCs/>
                <w:color w:val="000000"/>
                <w:sz w:val="18"/>
                <w:szCs w:val="18"/>
              </w:rPr>
            </w:pPr>
            <w:r>
              <w:rPr>
                <w:rFonts w:hint="eastAsia" w:ascii="宋体" w:hAnsi="宋体" w:cs="宋体"/>
                <w:b/>
                <w:bCs/>
                <w:sz w:val="18"/>
                <w:szCs w:val="18"/>
              </w:rPr>
              <w:t>2024年12月31日(经审计)</w:t>
            </w:r>
          </w:p>
        </w:tc>
      </w:tr>
      <w:tr w14:paraId="13AD9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0D33DB90">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资产总额</w:t>
            </w:r>
          </w:p>
        </w:tc>
        <w:tc>
          <w:tcPr>
            <w:tcW w:w="2005" w:type="pct"/>
          </w:tcPr>
          <w:p w14:paraId="0179194E">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7,468.15</w:t>
            </w:r>
          </w:p>
        </w:tc>
        <w:tc>
          <w:tcPr>
            <w:tcW w:w="1714" w:type="pct"/>
          </w:tcPr>
          <w:p w14:paraId="337D31E7">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4,769.74</w:t>
            </w:r>
          </w:p>
        </w:tc>
      </w:tr>
      <w:tr w14:paraId="02E1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407850FA">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负债总额</w:t>
            </w:r>
          </w:p>
        </w:tc>
        <w:tc>
          <w:tcPr>
            <w:tcW w:w="2005" w:type="pct"/>
          </w:tcPr>
          <w:p w14:paraId="12A49DAD">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3,897.98</w:t>
            </w:r>
          </w:p>
        </w:tc>
        <w:tc>
          <w:tcPr>
            <w:tcW w:w="1714" w:type="pct"/>
          </w:tcPr>
          <w:p w14:paraId="75AD0834">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956.67</w:t>
            </w:r>
          </w:p>
        </w:tc>
      </w:tr>
      <w:tr w14:paraId="5B55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38E1C07E">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净资产</w:t>
            </w:r>
          </w:p>
        </w:tc>
        <w:tc>
          <w:tcPr>
            <w:tcW w:w="2005" w:type="pct"/>
          </w:tcPr>
          <w:p w14:paraId="5E70C53C">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3,570.17</w:t>
            </w:r>
          </w:p>
        </w:tc>
        <w:tc>
          <w:tcPr>
            <w:tcW w:w="1714" w:type="pct"/>
          </w:tcPr>
          <w:p w14:paraId="49A98952">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3,813.08</w:t>
            </w:r>
          </w:p>
        </w:tc>
      </w:tr>
      <w:tr w14:paraId="4F984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03EC2E97">
            <w:pPr>
              <w:spacing w:line="400" w:lineRule="exact"/>
              <w:jc w:val="left"/>
              <w:rPr>
                <w:rFonts w:hint="eastAsia" w:ascii="宋体" w:hAnsi="宋体" w:cs="宋体"/>
                <w:b/>
                <w:bCs/>
                <w:color w:val="000000"/>
                <w:sz w:val="18"/>
                <w:szCs w:val="18"/>
              </w:rPr>
            </w:pPr>
          </w:p>
        </w:tc>
        <w:tc>
          <w:tcPr>
            <w:tcW w:w="2005" w:type="pct"/>
            <w:vAlign w:val="center"/>
          </w:tcPr>
          <w:p w14:paraId="4A41B5BF">
            <w:pPr>
              <w:spacing w:line="400" w:lineRule="exact"/>
              <w:jc w:val="center"/>
              <w:rPr>
                <w:rFonts w:hint="eastAsia" w:ascii="宋体" w:hAnsi="宋体" w:cs="宋体"/>
                <w:b/>
                <w:bCs/>
                <w:color w:val="000000"/>
                <w:sz w:val="18"/>
                <w:szCs w:val="18"/>
              </w:rPr>
            </w:pPr>
            <w:r>
              <w:rPr>
                <w:rFonts w:hint="eastAsia" w:ascii="宋体" w:hAnsi="宋体" w:cs="宋体"/>
                <w:b/>
                <w:bCs/>
                <w:color w:val="000000"/>
                <w:sz w:val="18"/>
                <w:szCs w:val="18"/>
              </w:rPr>
              <w:t>2025年1-9月（未经审计）</w:t>
            </w:r>
          </w:p>
        </w:tc>
        <w:tc>
          <w:tcPr>
            <w:tcW w:w="1714" w:type="pct"/>
            <w:vAlign w:val="center"/>
          </w:tcPr>
          <w:p w14:paraId="5FC4F0C6">
            <w:pPr>
              <w:spacing w:line="400" w:lineRule="exact"/>
              <w:jc w:val="center"/>
              <w:rPr>
                <w:rFonts w:hint="eastAsia" w:ascii="宋体" w:hAnsi="宋体" w:cs="宋体"/>
                <w:b/>
                <w:bCs/>
                <w:color w:val="000000"/>
                <w:sz w:val="18"/>
                <w:szCs w:val="18"/>
              </w:rPr>
            </w:pPr>
            <w:r>
              <w:rPr>
                <w:rFonts w:hint="eastAsia" w:ascii="宋体" w:hAnsi="宋体" w:cs="宋体"/>
                <w:b/>
                <w:bCs/>
                <w:color w:val="000000"/>
                <w:sz w:val="18"/>
                <w:szCs w:val="18"/>
              </w:rPr>
              <w:t>2024年1-12月（经审计）</w:t>
            </w:r>
          </w:p>
        </w:tc>
      </w:tr>
      <w:tr w14:paraId="45F7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47131191">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营业收入</w:t>
            </w:r>
          </w:p>
        </w:tc>
        <w:tc>
          <w:tcPr>
            <w:tcW w:w="2005" w:type="pct"/>
          </w:tcPr>
          <w:p w14:paraId="390FD6A4">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4,214.00</w:t>
            </w:r>
          </w:p>
        </w:tc>
        <w:tc>
          <w:tcPr>
            <w:tcW w:w="1714" w:type="pct"/>
          </w:tcPr>
          <w:p w14:paraId="5803306B">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 xml:space="preserve"> 5,775.55 </w:t>
            </w:r>
          </w:p>
        </w:tc>
      </w:tr>
      <w:tr w14:paraId="18DA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1F01F811">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净利润</w:t>
            </w:r>
          </w:p>
        </w:tc>
        <w:tc>
          <w:tcPr>
            <w:tcW w:w="2005" w:type="pct"/>
          </w:tcPr>
          <w:p w14:paraId="5C72F9C5">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 xml:space="preserve"> -279.23 </w:t>
            </w:r>
          </w:p>
        </w:tc>
        <w:tc>
          <w:tcPr>
            <w:tcW w:w="1714" w:type="pct"/>
          </w:tcPr>
          <w:p w14:paraId="5E809D88">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 xml:space="preserve"> -311.09 </w:t>
            </w:r>
          </w:p>
        </w:tc>
      </w:tr>
    </w:tbl>
    <w:p w14:paraId="059FA239">
      <w:pPr>
        <w:adjustRightInd w:val="0"/>
        <w:snapToGrid w:val="0"/>
        <w:spacing w:line="560" w:lineRule="exact"/>
        <w:ind w:firstLine="480" w:firstLineChars="200"/>
        <w:outlineLvl w:val="1"/>
        <w:rPr>
          <w:rFonts w:hint="eastAsia" w:ascii="宋体" w:hAnsi="宋体" w:cs="宋体"/>
          <w:sz w:val="24"/>
          <w:szCs w:val="24"/>
        </w:rPr>
      </w:pPr>
      <w:r>
        <w:rPr>
          <w:rFonts w:hint="eastAsia" w:ascii="宋体" w:hAnsi="宋体" w:cs="宋体"/>
          <w:sz w:val="24"/>
          <w:szCs w:val="24"/>
        </w:rPr>
        <w:t>（四）黔南望江</w:t>
      </w:r>
    </w:p>
    <w:p w14:paraId="42653D49">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公司名称：黔南望江变压器有限公司</w:t>
      </w:r>
    </w:p>
    <w:p w14:paraId="3353D16E">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统一社会信用代码：91522701789761914Q</w:t>
      </w:r>
    </w:p>
    <w:p w14:paraId="1AA9E01A">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成立时间：2007年8月21日</w:t>
      </w:r>
    </w:p>
    <w:p w14:paraId="3E3054A7">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注册地：贵州省黔南州都匀市绿茵湖街道红朗路8号</w:t>
      </w:r>
    </w:p>
    <w:p w14:paraId="5E8A6659">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主要办公地点：贵州省黔南州都匀市绿茵湖街道红朗路8号</w:t>
      </w:r>
    </w:p>
    <w:p w14:paraId="2601CEDA">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法定代表人：王海波</w:t>
      </w:r>
    </w:p>
    <w:p w14:paraId="3A893E15">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注册资本：6000万人民币</w:t>
      </w:r>
    </w:p>
    <w:p w14:paraId="50F29AE4">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经营范围：法律、法规、国务院决定规定禁止的不得经营；法律、法规、国务院决定规定应当许可（审批）的，经审批机关批准后凭许可（审批）文件经营；法律、法规、国务院决定规定无需许可（审批）的，市场主体自主选择经营。（电力变压器、矿用变压器、各种高低压成套电力设备及配件、低压无功补偿装置、各类特种变压器与配电设备的制造、销售和改造维修，普通道路货物运输（不含危险品）涉及许可经营项目，应取得相关部门许可后方可经营）。</w:t>
      </w:r>
    </w:p>
    <w:p w14:paraId="4AF3CD3A">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股东情况：重庆望变电气（集团）股份有限公司（100%）</w:t>
      </w:r>
    </w:p>
    <w:p w14:paraId="088DD30A">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关联关系：黔南望江系公司全资子公司。</w:t>
      </w:r>
    </w:p>
    <w:p w14:paraId="5CAC349F">
      <w:pPr>
        <w:adjustRightInd w:val="0"/>
        <w:snapToGrid w:val="0"/>
        <w:spacing w:line="560" w:lineRule="exact"/>
        <w:ind w:firstLine="480" w:firstLineChars="200"/>
        <w:rPr>
          <w:rFonts w:hint="eastAsia" w:ascii="宋体" w:hAnsi="宋体" w:cs="宋体"/>
          <w:sz w:val="24"/>
          <w:szCs w:val="24"/>
        </w:rPr>
      </w:pPr>
      <w:r>
        <w:rPr>
          <w:rFonts w:hint="eastAsia" w:ascii="宋体" w:hAnsi="宋体" w:cs="宋体"/>
          <w:sz w:val="24"/>
          <w:szCs w:val="24"/>
        </w:rPr>
        <w:t>最近一年及一期主要财务指标如下：</w:t>
      </w:r>
    </w:p>
    <w:p w14:paraId="4C4BD1E8">
      <w:pPr>
        <w:jc w:val="right"/>
        <w:rPr>
          <w:rFonts w:hint="eastAsia" w:ascii="仿宋" w:hAnsi="仿宋" w:eastAsia="仿宋"/>
          <w:color w:val="000000"/>
          <w:szCs w:val="21"/>
        </w:rPr>
      </w:pPr>
      <w:r>
        <w:rPr>
          <w:rFonts w:hint="eastAsia" w:ascii="仿宋" w:hAnsi="仿宋" w:eastAsia="仿宋"/>
          <w:color w:val="000000"/>
          <w:szCs w:val="21"/>
        </w:rPr>
        <w:t>单位：万元  币种：人民币</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3"/>
        <w:gridCol w:w="3417"/>
        <w:gridCol w:w="2922"/>
      </w:tblGrid>
      <w:tr w14:paraId="38BE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44FA4D31">
            <w:pPr>
              <w:spacing w:line="400" w:lineRule="exact"/>
              <w:jc w:val="center"/>
              <w:rPr>
                <w:rFonts w:hint="eastAsia" w:ascii="宋体" w:hAnsi="宋体" w:cs="宋体"/>
                <w:b/>
                <w:bCs/>
                <w:color w:val="000000"/>
                <w:sz w:val="18"/>
                <w:szCs w:val="18"/>
              </w:rPr>
            </w:pPr>
            <w:r>
              <w:rPr>
                <w:rFonts w:hint="eastAsia" w:ascii="宋体" w:hAnsi="宋体" w:cs="宋体"/>
                <w:b/>
                <w:bCs/>
                <w:sz w:val="18"/>
                <w:szCs w:val="18"/>
              </w:rPr>
              <w:t>财务指标</w:t>
            </w:r>
          </w:p>
        </w:tc>
        <w:tc>
          <w:tcPr>
            <w:tcW w:w="2005" w:type="pct"/>
            <w:vAlign w:val="center"/>
          </w:tcPr>
          <w:p w14:paraId="01CD3B0B">
            <w:pPr>
              <w:spacing w:line="400" w:lineRule="exact"/>
              <w:jc w:val="center"/>
              <w:rPr>
                <w:rFonts w:hint="eastAsia" w:ascii="宋体" w:hAnsi="宋体" w:cs="宋体"/>
                <w:b/>
                <w:bCs/>
                <w:color w:val="000000"/>
                <w:sz w:val="18"/>
                <w:szCs w:val="18"/>
              </w:rPr>
            </w:pPr>
            <w:r>
              <w:rPr>
                <w:rFonts w:hint="eastAsia" w:ascii="宋体" w:hAnsi="宋体" w:cs="宋体"/>
                <w:b/>
                <w:bCs/>
                <w:sz w:val="18"/>
                <w:szCs w:val="18"/>
              </w:rPr>
              <w:t>2025年9月30日（未经审计）</w:t>
            </w:r>
          </w:p>
        </w:tc>
        <w:tc>
          <w:tcPr>
            <w:tcW w:w="1714" w:type="pct"/>
            <w:vAlign w:val="center"/>
          </w:tcPr>
          <w:p w14:paraId="1E9661B9">
            <w:pPr>
              <w:spacing w:line="400" w:lineRule="exact"/>
              <w:jc w:val="center"/>
              <w:rPr>
                <w:rFonts w:hint="eastAsia" w:ascii="宋体" w:hAnsi="宋体" w:cs="宋体"/>
                <w:b/>
                <w:bCs/>
                <w:color w:val="000000"/>
                <w:sz w:val="18"/>
                <w:szCs w:val="18"/>
              </w:rPr>
            </w:pPr>
            <w:r>
              <w:rPr>
                <w:rFonts w:hint="eastAsia" w:ascii="宋体" w:hAnsi="宋体" w:cs="宋体"/>
                <w:b/>
                <w:bCs/>
                <w:sz w:val="18"/>
                <w:szCs w:val="18"/>
              </w:rPr>
              <w:t>2024年12月31日(经审计)</w:t>
            </w:r>
          </w:p>
        </w:tc>
      </w:tr>
      <w:tr w14:paraId="0EFF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5B420458">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资产总额</w:t>
            </w:r>
          </w:p>
        </w:tc>
        <w:tc>
          <w:tcPr>
            <w:tcW w:w="2005" w:type="pct"/>
          </w:tcPr>
          <w:p w14:paraId="13C95335">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18,581.49</w:t>
            </w:r>
          </w:p>
        </w:tc>
        <w:tc>
          <w:tcPr>
            <w:tcW w:w="1714" w:type="pct"/>
          </w:tcPr>
          <w:p w14:paraId="72AD3522">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18,438.98</w:t>
            </w:r>
          </w:p>
        </w:tc>
      </w:tr>
      <w:tr w14:paraId="2E1C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3590E0B3">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负债总额</w:t>
            </w:r>
          </w:p>
        </w:tc>
        <w:tc>
          <w:tcPr>
            <w:tcW w:w="2005" w:type="pct"/>
          </w:tcPr>
          <w:p w14:paraId="17BC1BA7">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14,092.22</w:t>
            </w:r>
          </w:p>
        </w:tc>
        <w:tc>
          <w:tcPr>
            <w:tcW w:w="1714" w:type="pct"/>
          </w:tcPr>
          <w:p w14:paraId="2BDAD7C9">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14,025.05</w:t>
            </w:r>
          </w:p>
        </w:tc>
      </w:tr>
      <w:tr w14:paraId="281D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64DE441D">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净资产</w:t>
            </w:r>
          </w:p>
        </w:tc>
        <w:tc>
          <w:tcPr>
            <w:tcW w:w="2005" w:type="pct"/>
          </w:tcPr>
          <w:p w14:paraId="58645F72">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4,489.26</w:t>
            </w:r>
          </w:p>
        </w:tc>
        <w:tc>
          <w:tcPr>
            <w:tcW w:w="1714" w:type="pct"/>
          </w:tcPr>
          <w:p w14:paraId="49756E5B">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4,413.92</w:t>
            </w:r>
          </w:p>
        </w:tc>
      </w:tr>
      <w:tr w14:paraId="65D1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5237E5CE">
            <w:pPr>
              <w:spacing w:line="400" w:lineRule="exact"/>
              <w:jc w:val="left"/>
              <w:rPr>
                <w:rFonts w:hint="eastAsia" w:ascii="宋体" w:hAnsi="宋体" w:cs="宋体"/>
                <w:b/>
                <w:bCs/>
                <w:color w:val="000000"/>
                <w:sz w:val="18"/>
                <w:szCs w:val="18"/>
              </w:rPr>
            </w:pPr>
          </w:p>
        </w:tc>
        <w:tc>
          <w:tcPr>
            <w:tcW w:w="2005" w:type="pct"/>
            <w:vAlign w:val="center"/>
          </w:tcPr>
          <w:p w14:paraId="6C555F33">
            <w:pPr>
              <w:spacing w:line="400" w:lineRule="exact"/>
              <w:jc w:val="center"/>
              <w:rPr>
                <w:rFonts w:hint="eastAsia" w:ascii="宋体" w:hAnsi="宋体" w:cs="宋体"/>
                <w:b/>
                <w:bCs/>
                <w:color w:val="000000"/>
                <w:sz w:val="18"/>
                <w:szCs w:val="18"/>
              </w:rPr>
            </w:pPr>
            <w:r>
              <w:rPr>
                <w:rFonts w:hint="eastAsia" w:ascii="宋体" w:hAnsi="宋体" w:cs="宋体"/>
                <w:b/>
                <w:bCs/>
                <w:color w:val="000000"/>
                <w:sz w:val="18"/>
                <w:szCs w:val="18"/>
              </w:rPr>
              <w:t>2025年1-9月（未经审计）</w:t>
            </w:r>
          </w:p>
        </w:tc>
        <w:tc>
          <w:tcPr>
            <w:tcW w:w="1714" w:type="pct"/>
            <w:vAlign w:val="center"/>
          </w:tcPr>
          <w:p w14:paraId="1C826AF8">
            <w:pPr>
              <w:spacing w:line="400" w:lineRule="exact"/>
              <w:jc w:val="center"/>
              <w:rPr>
                <w:rFonts w:hint="eastAsia" w:ascii="宋体" w:hAnsi="宋体" w:cs="宋体"/>
                <w:b/>
                <w:bCs/>
                <w:color w:val="000000"/>
                <w:sz w:val="18"/>
                <w:szCs w:val="18"/>
              </w:rPr>
            </w:pPr>
            <w:r>
              <w:rPr>
                <w:rFonts w:hint="eastAsia" w:ascii="宋体" w:hAnsi="宋体" w:cs="宋体"/>
                <w:b/>
                <w:bCs/>
                <w:color w:val="000000"/>
                <w:sz w:val="18"/>
                <w:szCs w:val="18"/>
              </w:rPr>
              <w:t>2024年1-12月（经审计）</w:t>
            </w:r>
          </w:p>
        </w:tc>
      </w:tr>
      <w:tr w14:paraId="00F4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22F01EB3">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营业收入</w:t>
            </w:r>
          </w:p>
        </w:tc>
        <w:tc>
          <w:tcPr>
            <w:tcW w:w="2005" w:type="pct"/>
          </w:tcPr>
          <w:p w14:paraId="5ABAD18E">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6,777.33</w:t>
            </w:r>
          </w:p>
        </w:tc>
        <w:tc>
          <w:tcPr>
            <w:tcW w:w="1714" w:type="pct"/>
          </w:tcPr>
          <w:p w14:paraId="3CFB1133">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 xml:space="preserve"> 10,800.54 </w:t>
            </w:r>
          </w:p>
        </w:tc>
      </w:tr>
      <w:tr w14:paraId="3504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81" w:type="pct"/>
            <w:vAlign w:val="center"/>
          </w:tcPr>
          <w:p w14:paraId="707F6FFF">
            <w:pPr>
              <w:spacing w:line="400" w:lineRule="exact"/>
              <w:jc w:val="left"/>
              <w:rPr>
                <w:rFonts w:hint="eastAsia" w:ascii="宋体" w:hAnsi="宋体" w:cs="宋体"/>
                <w:color w:val="000000"/>
                <w:sz w:val="18"/>
                <w:szCs w:val="18"/>
              </w:rPr>
            </w:pPr>
            <w:r>
              <w:rPr>
                <w:rFonts w:hint="eastAsia" w:ascii="宋体" w:hAnsi="宋体" w:cs="宋体"/>
                <w:color w:val="000000"/>
                <w:sz w:val="18"/>
                <w:szCs w:val="18"/>
              </w:rPr>
              <w:t>净利润</w:t>
            </w:r>
          </w:p>
        </w:tc>
        <w:tc>
          <w:tcPr>
            <w:tcW w:w="2005" w:type="pct"/>
          </w:tcPr>
          <w:p w14:paraId="66C15C1F">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 xml:space="preserve"> -16.40 </w:t>
            </w:r>
          </w:p>
        </w:tc>
        <w:tc>
          <w:tcPr>
            <w:tcW w:w="1714" w:type="pct"/>
          </w:tcPr>
          <w:p w14:paraId="0ED5F23F">
            <w:pPr>
              <w:spacing w:line="400" w:lineRule="exact"/>
              <w:jc w:val="right"/>
              <w:rPr>
                <w:rFonts w:hint="eastAsia" w:ascii="宋体" w:hAnsi="宋体" w:cs="宋体"/>
                <w:color w:val="000000"/>
                <w:sz w:val="18"/>
                <w:szCs w:val="18"/>
              </w:rPr>
            </w:pPr>
            <w:r>
              <w:rPr>
                <w:rFonts w:hint="eastAsia" w:ascii="宋体" w:hAnsi="宋体" w:cs="宋体"/>
                <w:color w:val="000000"/>
                <w:sz w:val="18"/>
                <w:szCs w:val="18"/>
              </w:rPr>
              <w:t xml:space="preserve"> 38.61 </w:t>
            </w:r>
          </w:p>
        </w:tc>
      </w:tr>
    </w:tbl>
    <w:p w14:paraId="1C97D4AE">
      <w:pPr>
        <w:pStyle w:val="23"/>
        <w:numPr>
          <w:ilvl w:val="255"/>
          <w:numId w:val="0"/>
        </w:numPr>
        <w:rPr>
          <w:color w:val="auto"/>
        </w:rPr>
      </w:pPr>
    </w:p>
    <w:p w14:paraId="1926A78C">
      <w:pPr>
        <w:autoSpaceDE w:val="0"/>
        <w:autoSpaceDN w:val="0"/>
        <w:adjustRightInd w:val="0"/>
        <w:spacing w:line="560" w:lineRule="exact"/>
        <w:rPr>
          <w:rFonts w:hint="eastAsia" w:ascii="宋体" w:hAnsi="宋体" w:cs="宋体"/>
          <w:b/>
          <w:kern w:val="0"/>
          <w:sz w:val="24"/>
          <w:szCs w:val="24"/>
        </w:rPr>
      </w:pPr>
      <w:r>
        <w:rPr>
          <w:rFonts w:hint="eastAsia" w:ascii="宋体" w:hAnsi="宋体" w:cs="宋体"/>
          <w:b/>
          <w:kern w:val="0"/>
          <w:sz w:val="24"/>
          <w:szCs w:val="24"/>
        </w:rPr>
        <w:t>三、担保协议的主要内容</w:t>
      </w:r>
    </w:p>
    <w:p w14:paraId="4FFE3075">
      <w:pPr>
        <w:autoSpaceDE w:val="0"/>
        <w:autoSpaceDN w:val="0"/>
        <w:adjustRightInd w:val="0"/>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本次担保预计系为子公司提供的最高担保额度，在该担保额度内，公司将根据实际发生的担保在定期报告或进展公告中披露相应内容。</w:t>
      </w:r>
    </w:p>
    <w:p w14:paraId="0F9B5459">
      <w:pPr>
        <w:autoSpaceDE w:val="0"/>
        <w:autoSpaceDN w:val="0"/>
        <w:adjustRightInd w:val="0"/>
        <w:spacing w:line="560" w:lineRule="exact"/>
        <w:rPr>
          <w:rFonts w:hint="eastAsia" w:ascii="宋体" w:hAnsi="宋体" w:cs="宋体"/>
          <w:b/>
          <w:sz w:val="24"/>
          <w:szCs w:val="24"/>
        </w:rPr>
      </w:pPr>
      <w:r>
        <w:rPr>
          <w:rFonts w:hint="eastAsia" w:ascii="宋体" w:hAnsi="宋体" w:cs="宋体"/>
          <w:b/>
          <w:sz w:val="24"/>
          <w:szCs w:val="24"/>
        </w:rPr>
        <w:t>四、担保的必要性和合理性</w:t>
      </w:r>
    </w:p>
    <w:p w14:paraId="50071305">
      <w:pPr>
        <w:autoSpaceDE w:val="0"/>
        <w:autoSpaceDN w:val="0"/>
        <w:adjustRightInd w:val="0"/>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本次担保主要为满足子公司日常生产经营需要，保证其生产经营活动的顺利开展，符合公司实际经营情况和整体发展战略，具有必要性和合理性。被担保对象为公司全资子公司，公司对其日常经营活动和资信状况能够及时掌握，担保风险总体可控，不存在损害公司及股东特别是中小股东利益的情形。</w:t>
      </w:r>
    </w:p>
    <w:p w14:paraId="63F6E830">
      <w:pPr>
        <w:autoSpaceDE w:val="0"/>
        <w:autoSpaceDN w:val="0"/>
        <w:adjustRightInd w:val="0"/>
        <w:spacing w:line="560" w:lineRule="exact"/>
        <w:rPr>
          <w:rFonts w:hint="eastAsia" w:ascii="宋体" w:hAnsi="宋体" w:cs="宋体"/>
          <w:b/>
          <w:sz w:val="24"/>
          <w:szCs w:val="24"/>
        </w:rPr>
      </w:pPr>
      <w:r>
        <w:rPr>
          <w:rFonts w:hint="eastAsia" w:ascii="宋体" w:hAnsi="宋体" w:cs="宋体"/>
          <w:b/>
          <w:sz w:val="24"/>
          <w:szCs w:val="24"/>
        </w:rPr>
        <w:t>五、董事会意见</w:t>
      </w:r>
    </w:p>
    <w:p w14:paraId="1CF69BBF">
      <w:pPr>
        <w:tabs>
          <w:tab w:val="left" w:pos="3468"/>
        </w:tabs>
        <w:autoSpaceDE w:val="0"/>
        <w:autoSpaceDN w:val="0"/>
        <w:adjustRightInd w:val="0"/>
        <w:spacing w:line="560" w:lineRule="exact"/>
        <w:ind w:firstLine="460" w:firstLineChars="192"/>
        <w:rPr>
          <w:rFonts w:hint="eastAsia" w:ascii="宋体" w:hAnsi="宋体" w:cs="宋体"/>
          <w:sz w:val="24"/>
          <w:szCs w:val="24"/>
        </w:rPr>
      </w:pPr>
      <w:r>
        <w:rPr>
          <w:rFonts w:ascii="宋体" w:hAnsi="宋体" w:cs="宋体"/>
          <w:sz w:val="24"/>
          <w:szCs w:val="24"/>
        </w:rPr>
        <w:t>董事会认为</w:t>
      </w:r>
      <w:r>
        <w:rPr>
          <w:rFonts w:hint="eastAsia" w:ascii="宋体" w:hAnsi="宋体" w:cs="宋体"/>
          <w:sz w:val="24"/>
          <w:szCs w:val="24"/>
        </w:rPr>
        <w:t>，</w:t>
      </w:r>
      <w:r>
        <w:rPr>
          <w:rFonts w:ascii="宋体" w:hAnsi="宋体" w:cs="宋体"/>
          <w:sz w:val="24"/>
          <w:szCs w:val="24"/>
        </w:rPr>
        <w:t>本次担保预计是考虑子公司日常经营需求，符合相关法律法规及公司章程的规定，担保风险总体可控，有利于公司的生产经营和长远发展，董事会同意上述担保</w:t>
      </w:r>
      <w:r>
        <w:rPr>
          <w:rFonts w:hint="eastAsia" w:ascii="宋体" w:hAnsi="宋体" w:cs="宋体"/>
          <w:sz w:val="24"/>
          <w:szCs w:val="24"/>
        </w:rPr>
        <w:t>事宜并同意提交公司股东会进行审议</w:t>
      </w:r>
      <w:r>
        <w:rPr>
          <w:rFonts w:ascii="宋体" w:hAnsi="宋体" w:cs="宋体"/>
          <w:sz w:val="24"/>
          <w:szCs w:val="24"/>
        </w:rPr>
        <w:t>。</w:t>
      </w:r>
    </w:p>
    <w:p w14:paraId="7B46C9CA">
      <w:pPr>
        <w:pStyle w:val="16"/>
        <w:widowControl/>
        <w:numPr>
          <w:ilvl w:val="0"/>
          <w:numId w:val="2"/>
        </w:numPr>
        <w:ind w:firstLine="482"/>
        <w:rPr>
          <w:rFonts w:hint="eastAsia" w:ascii="宋体" w:hAnsi="宋体" w:cs="宋体"/>
          <w:b/>
          <w:kern w:val="2"/>
          <w:szCs w:val="24"/>
        </w:rPr>
      </w:pPr>
      <w:r>
        <w:rPr>
          <w:rFonts w:hint="eastAsia" w:ascii="宋体" w:hAnsi="宋体" w:cs="宋体"/>
          <w:b/>
          <w:kern w:val="2"/>
          <w:szCs w:val="24"/>
        </w:rPr>
        <w:t>累计对外担保数量及逾期担保的数量</w:t>
      </w:r>
    </w:p>
    <w:p w14:paraId="03321A94">
      <w:pPr>
        <w:pStyle w:val="16"/>
        <w:widowControl/>
        <w:numPr>
          <w:ilvl w:val="255"/>
          <w:numId w:val="0"/>
        </w:numPr>
        <w:autoSpaceDE w:val="0"/>
        <w:autoSpaceDN w:val="0"/>
        <w:spacing w:beforeAutospacing="0" w:afterAutospacing="0" w:line="560" w:lineRule="exact"/>
        <w:ind w:firstLine="480" w:firstLineChars="200"/>
        <w:jc w:val="both"/>
        <w:rPr>
          <w:rFonts w:hint="eastAsia" w:ascii="宋体" w:hAnsi="宋体" w:cs="宋体"/>
          <w:b/>
          <w:kern w:val="2"/>
          <w:szCs w:val="24"/>
          <w:lang w:val="zh-TW" w:eastAsia="zh-TW"/>
        </w:rPr>
      </w:pPr>
      <w:r>
        <w:rPr>
          <w:rFonts w:hint="eastAsia" w:ascii="宋体" w:hAnsi="宋体" w:cs="宋体"/>
          <w:szCs w:val="24"/>
        </w:rPr>
        <w:t>截至2025年11月30日，公司及子公司担保总额为150,000万元</w:t>
      </w:r>
      <w:r>
        <w:rPr>
          <w:rFonts w:hint="eastAsia" w:ascii="宋体" w:hAnsi="宋体" w:cs="宋体"/>
          <w:kern w:val="0"/>
          <w:szCs w:val="24"/>
          <w:lang w:eastAsia="zh-CN"/>
        </w:rPr>
        <w:t>（</w:t>
      </w:r>
      <w:r>
        <w:rPr>
          <w:rFonts w:hint="eastAsia" w:ascii="宋体" w:hAnsi="宋体" w:cs="宋体"/>
          <w:kern w:val="0"/>
          <w:szCs w:val="24"/>
          <w:lang w:val="en-US" w:eastAsia="zh-CN"/>
        </w:rPr>
        <w:t>其中已签署担保合同的担保总额为129,474.10万元</w:t>
      </w:r>
      <w:r>
        <w:rPr>
          <w:rFonts w:hint="eastAsia" w:ascii="宋体" w:hAnsi="宋体" w:cs="宋体"/>
          <w:kern w:val="0"/>
          <w:szCs w:val="24"/>
          <w:lang w:eastAsia="zh-CN"/>
        </w:rPr>
        <w:t>）</w:t>
      </w:r>
      <w:r>
        <w:rPr>
          <w:rFonts w:hint="eastAsia" w:ascii="宋体" w:hAnsi="宋体" w:cs="宋体"/>
          <w:szCs w:val="24"/>
        </w:rPr>
        <w:t>，担保余额为64,</w:t>
      </w:r>
      <w:bookmarkStart w:id="4" w:name="_GoBack"/>
      <w:bookmarkEnd w:id="4"/>
      <w:r>
        <w:rPr>
          <w:rFonts w:hint="eastAsia" w:ascii="宋体" w:hAnsi="宋体" w:cs="宋体"/>
          <w:szCs w:val="24"/>
        </w:rPr>
        <w:t>172.59万元，系公司为子公司云变电气、惠泽电器及黔南望江提供的担保，担保总额占公司最近一期经审计归属于上市公司股东的净资产的</w:t>
      </w:r>
      <w:r>
        <w:rPr>
          <w:rFonts w:ascii="宋体" w:hAnsi="宋体" w:cs="宋体"/>
          <w:szCs w:val="24"/>
        </w:rPr>
        <w:t>62.1</w:t>
      </w:r>
      <w:r>
        <w:rPr>
          <w:rFonts w:hint="eastAsia" w:ascii="宋体" w:hAnsi="宋体" w:cs="宋体"/>
          <w:szCs w:val="24"/>
          <w:lang w:val="en-US" w:eastAsia="zh-CN"/>
        </w:rPr>
        <w:t>6</w:t>
      </w:r>
      <w:r>
        <w:rPr>
          <w:rFonts w:ascii="宋体" w:hAnsi="宋体" w:cs="宋体"/>
          <w:szCs w:val="24"/>
        </w:rPr>
        <w:t>%</w:t>
      </w:r>
      <w:r>
        <w:rPr>
          <w:rFonts w:hint="eastAsia" w:ascii="宋体" w:hAnsi="宋体" w:cs="宋体"/>
          <w:szCs w:val="24"/>
        </w:rPr>
        <w:t>，担保余额占公司最近一期经审计归属于上市公司股东的净资产的26.59%，不存在逾期担保。</w:t>
      </w:r>
    </w:p>
    <w:p w14:paraId="3ED6D8C8">
      <w:pPr>
        <w:autoSpaceDE w:val="0"/>
        <w:autoSpaceDN w:val="0"/>
        <w:adjustRightInd w:val="0"/>
        <w:spacing w:line="560" w:lineRule="exact"/>
        <w:ind w:firstLine="460" w:firstLineChars="192"/>
        <w:rPr>
          <w:rFonts w:hint="eastAsia" w:ascii="宋体" w:hAnsi="宋体" w:cs="宋体"/>
          <w:b/>
          <w:sz w:val="24"/>
          <w:szCs w:val="24"/>
        </w:rPr>
      </w:pPr>
      <w:r>
        <w:rPr>
          <w:rFonts w:hint="eastAsia" w:ascii="宋体" w:hAnsi="宋体" w:cs="宋体"/>
          <w:kern w:val="0"/>
          <w:sz w:val="24"/>
          <w:szCs w:val="24"/>
        </w:rPr>
        <w:t>特此公告。</w:t>
      </w:r>
    </w:p>
    <w:p w14:paraId="49FF2F2F">
      <w:pPr>
        <w:autoSpaceDE w:val="0"/>
        <w:autoSpaceDN w:val="0"/>
        <w:adjustRightInd w:val="0"/>
        <w:spacing w:line="560" w:lineRule="exact"/>
        <w:jc w:val="left"/>
        <w:rPr>
          <w:rFonts w:hint="eastAsia" w:ascii="宋体" w:hAnsi="宋体" w:cs="宋体"/>
          <w:kern w:val="0"/>
          <w:sz w:val="24"/>
          <w:szCs w:val="24"/>
        </w:rPr>
      </w:pPr>
    </w:p>
    <w:p w14:paraId="4A3E5C17">
      <w:pPr>
        <w:adjustRightInd w:val="0"/>
        <w:snapToGrid w:val="0"/>
        <w:spacing w:line="560" w:lineRule="exact"/>
        <w:ind w:firstLine="480" w:firstLineChars="200"/>
        <w:jc w:val="right"/>
        <w:rPr>
          <w:rFonts w:hint="eastAsia" w:ascii="宋体" w:hAnsi="宋体"/>
          <w:sz w:val="24"/>
          <w:szCs w:val="24"/>
        </w:rPr>
      </w:pPr>
      <w:r>
        <w:rPr>
          <w:rFonts w:hint="eastAsia" w:ascii="宋体" w:hAnsi="宋体" w:cs="宋体"/>
          <w:kern w:val="0"/>
          <w:sz w:val="24"/>
          <w:szCs w:val="24"/>
        </w:rPr>
        <w:t>重庆望变电气（集团）</w:t>
      </w:r>
      <w:r>
        <w:rPr>
          <w:rFonts w:hint="eastAsia" w:ascii="宋体" w:hAnsi="宋体" w:cs="仿宋_GB2312"/>
          <w:sz w:val="24"/>
          <w:szCs w:val="24"/>
        </w:rPr>
        <w:t>股</w:t>
      </w:r>
      <w:r>
        <w:rPr>
          <w:rFonts w:hint="eastAsia" w:ascii="宋体" w:hAnsi="宋体"/>
          <w:sz w:val="24"/>
          <w:szCs w:val="24"/>
        </w:rPr>
        <w:t>份有限公司董事会</w:t>
      </w:r>
    </w:p>
    <w:p w14:paraId="45FE9C53">
      <w:pPr>
        <w:adjustRightInd w:val="0"/>
        <w:snapToGrid w:val="0"/>
        <w:spacing w:line="560" w:lineRule="exact"/>
        <w:ind w:firstLine="480" w:firstLineChars="200"/>
        <w:jc w:val="right"/>
        <w:rPr>
          <w:rFonts w:hint="eastAsia" w:ascii="宋体" w:hAnsi="宋体" w:cs="宋体"/>
          <w:sz w:val="24"/>
          <w:szCs w:val="24"/>
        </w:rPr>
      </w:pPr>
      <w:r>
        <w:rPr>
          <w:rFonts w:ascii="宋体" w:hAnsi="宋体"/>
          <w:sz w:val="24"/>
          <w:szCs w:val="24"/>
        </w:rPr>
        <w:t>202</w:t>
      </w:r>
      <w:r>
        <w:rPr>
          <w:rFonts w:hint="eastAsia" w:ascii="宋体" w:hAnsi="宋体"/>
          <w:sz w:val="24"/>
          <w:szCs w:val="24"/>
        </w:rPr>
        <w:t>5年12月11日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501252"/>
    </w:sdtPr>
    <w:sdtContent>
      <w:p w14:paraId="6EF9853B">
        <w:pPr>
          <w:pStyle w:val="9"/>
          <w:jc w:val="center"/>
        </w:pPr>
        <w:r>
          <w:fldChar w:fldCharType="begin"/>
        </w:r>
        <w:r>
          <w:instrText xml:space="preserve"> PAGE   \* MERGEFORMAT </w:instrText>
        </w:r>
        <w:r>
          <w:fldChar w:fldCharType="separate"/>
        </w:r>
        <w:r>
          <w:rPr>
            <w:lang w:val="zh-CN"/>
          </w:rPr>
          <w:t>4</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F92DDF"/>
    <w:multiLevelType w:val="singleLevel"/>
    <w:tmpl w:val="B8F92DDF"/>
    <w:lvl w:ilvl="0" w:tentative="0">
      <w:start w:val="6"/>
      <w:numFmt w:val="chineseCounting"/>
      <w:suff w:val="nothing"/>
      <w:lvlText w:val="%1、"/>
      <w:lvlJc w:val="left"/>
      <w:rPr>
        <w:rFonts w:hint="eastAsia"/>
      </w:rPr>
    </w:lvl>
  </w:abstractNum>
  <w:abstractNum w:abstractNumId="1">
    <w:nsid w:val="22712713"/>
    <w:multiLevelType w:val="singleLevel"/>
    <w:tmpl w:val="22712713"/>
    <w:lvl w:ilvl="0" w:tentative="0">
      <w:start w:val="1"/>
      <w:numFmt w:val="bullet"/>
      <w:pStyle w:val="25"/>
      <w:lvlText w:val=""/>
      <w:lvlJc w:val="left"/>
      <w:pPr>
        <w:ind w:left="4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kMTYzODhjYTIzN2VlNWE1ZmU0YTU0NTgxMDI4MDMifQ=="/>
  </w:docVars>
  <w:rsids>
    <w:rsidRoot w:val="00BF2ECD"/>
    <w:rsid w:val="00000558"/>
    <w:rsid w:val="00000BC9"/>
    <w:rsid w:val="00037429"/>
    <w:rsid w:val="00044B7A"/>
    <w:rsid w:val="000507FA"/>
    <w:rsid w:val="00050D8C"/>
    <w:rsid w:val="00051D15"/>
    <w:rsid w:val="00054EEE"/>
    <w:rsid w:val="00060DFA"/>
    <w:rsid w:val="00064333"/>
    <w:rsid w:val="000671F4"/>
    <w:rsid w:val="0007156E"/>
    <w:rsid w:val="000764C3"/>
    <w:rsid w:val="00082408"/>
    <w:rsid w:val="00087F94"/>
    <w:rsid w:val="00095674"/>
    <w:rsid w:val="000A490B"/>
    <w:rsid w:val="000A5568"/>
    <w:rsid w:val="000B677B"/>
    <w:rsid w:val="000E2A8D"/>
    <w:rsid w:val="000F2338"/>
    <w:rsid w:val="00124FA5"/>
    <w:rsid w:val="00125C8C"/>
    <w:rsid w:val="00126188"/>
    <w:rsid w:val="001335CF"/>
    <w:rsid w:val="001368F4"/>
    <w:rsid w:val="001619B6"/>
    <w:rsid w:val="00161C50"/>
    <w:rsid w:val="001631B1"/>
    <w:rsid w:val="00172339"/>
    <w:rsid w:val="00177222"/>
    <w:rsid w:val="001903B0"/>
    <w:rsid w:val="001B2B9A"/>
    <w:rsid w:val="001B5730"/>
    <w:rsid w:val="001C165F"/>
    <w:rsid w:val="001C235A"/>
    <w:rsid w:val="001D0405"/>
    <w:rsid w:val="001E4E44"/>
    <w:rsid w:val="001E7562"/>
    <w:rsid w:val="001F0293"/>
    <w:rsid w:val="001F3BAD"/>
    <w:rsid w:val="002032FC"/>
    <w:rsid w:val="002051AC"/>
    <w:rsid w:val="00207506"/>
    <w:rsid w:val="002114BE"/>
    <w:rsid w:val="00222403"/>
    <w:rsid w:val="00224E96"/>
    <w:rsid w:val="00234702"/>
    <w:rsid w:val="00246976"/>
    <w:rsid w:val="00266A7C"/>
    <w:rsid w:val="00272D61"/>
    <w:rsid w:val="002878A7"/>
    <w:rsid w:val="00294DFB"/>
    <w:rsid w:val="002A3C59"/>
    <w:rsid w:val="002B1A65"/>
    <w:rsid w:val="002B291C"/>
    <w:rsid w:val="002C32E2"/>
    <w:rsid w:val="002C3AF3"/>
    <w:rsid w:val="002C5387"/>
    <w:rsid w:val="002D1984"/>
    <w:rsid w:val="002D51F5"/>
    <w:rsid w:val="002D6A43"/>
    <w:rsid w:val="002E2215"/>
    <w:rsid w:val="002F1340"/>
    <w:rsid w:val="002F33C4"/>
    <w:rsid w:val="002F6DC2"/>
    <w:rsid w:val="002F6FD5"/>
    <w:rsid w:val="0030115C"/>
    <w:rsid w:val="003051B5"/>
    <w:rsid w:val="00313A26"/>
    <w:rsid w:val="00335DCA"/>
    <w:rsid w:val="00342251"/>
    <w:rsid w:val="00343F60"/>
    <w:rsid w:val="00352F3F"/>
    <w:rsid w:val="00385A69"/>
    <w:rsid w:val="003A3C4B"/>
    <w:rsid w:val="003A4934"/>
    <w:rsid w:val="003A6877"/>
    <w:rsid w:val="003B5E5C"/>
    <w:rsid w:val="003C13ED"/>
    <w:rsid w:val="003D1D39"/>
    <w:rsid w:val="003D4987"/>
    <w:rsid w:val="003D500E"/>
    <w:rsid w:val="003E399E"/>
    <w:rsid w:val="003F26EB"/>
    <w:rsid w:val="00412966"/>
    <w:rsid w:val="004166FA"/>
    <w:rsid w:val="004216D6"/>
    <w:rsid w:val="00421FBB"/>
    <w:rsid w:val="00432414"/>
    <w:rsid w:val="004417CE"/>
    <w:rsid w:val="00452302"/>
    <w:rsid w:val="004617FD"/>
    <w:rsid w:val="00481530"/>
    <w:rsid w:val="004A27BC"/>
    <w:rsid w:val="004B6940"/>
    <w:rsid w:val="004C3D35"/>
    <w:rsid w:val="004E11B1"/>
    <w:rsid w:val="004F4D81"/>
    <w:rsid w:val="004F792E"/>
    <w:rsid w:val="00501890"/>
    <w:rsid w:val="0050197F"/>
    <w:rsid w:val="00503B40"/>
    <w:rsid w:val="00507042"/>
    <w:rsid w:val="0052284A"/>
    <w:rsid w:val="00522DE7"/>
    <w:rsid w:val="0052751C"/>
    <w:rsid w:val="00530DCA"/>
    <w:rsid w:val="0055741E"/>
    <w:rsid w:val="00563DEF"/>
    <w:rsid w:val="00583455"/>
    <w:rsid w:val="00593D94"/>
    <w:rsid w:val="005950D7"/>
    <w:rsid w:val="005A5697"/>
    <w:rsid w:val="005B06D0"/>
    <w:rsid w:val="005B1790"/>
    <w:rsid w:val="005B1CE9"/>
    <w:rsid w:val="005E015E"/>
    <w:rsid w:val="005E0D94"/>
    <w:rsid w:val="006004F3"/>
    <w:rsid w:val="0061300F"/>
    <w:rsid w:val="0061302E"/>
    <w:rsid w:val="00616B8A"/>
    <w:rsid w:val="00621D2E"/>
    <w:rsid w:val="00623320"/>
    <w:rsid w:val="006233E1"/>
    <w:rsid w:val="00631267"/>
    <w:rsid w:val="006414A6"/>
    <w:rsid w:val="006556BD"/>
    <w:rsid w:val="00656B76"/>
    <w:rsid w:val="0065737B"/>
    <w:rsid w:val="0066481A"/>
    <w:rsid w:val="006754DD"/>
    <w:rsid w:val="00692CB8"/>
    <w:rsid w:val="00693570"/>
    <w:rsid w:val="006B13DA"/>
    <w:rsid w:val="006B2315"/>
    <w:rsid w:val="006B45CE"/>
    <w:rsid w:val="006B6910"/>
    <w:rsid w:val="006C4014"/>
    <w:rsid w:val="006C6811"/>
    <w:rsid w:val="006D1676"/>
    <w:rsid w:val="006D6459"/>
    <w:rsid w:val="007041A1"/>
    <w:rsid w:val="00713C80"/>
    <w:rsid w:val="00732D11"/>
    <w:rsid w:val="0073774F"/>
    <w:rsid w:val="00745B5F"/>
    <w:rsid w:val="0076073C"/>
    <w:rsid w:val="00776B0C"/>
    <w:rsid w:val="007946B0"/>
    <w:rsid w:val="007A42EC"/>
    <w:rsid w:val="007A54FF"/>
    <w:rsid w:val="007B4990"/>
    <w:rsid w:val="007C343C"/>
    <w:rsid w:val="007C655F"/>
    <w:rsid w:val="007D3D15"/>
    <w:rsid w:val="007D539C"/>
    <w:rsid w:val="007F4CED"/>
    <w:rsid w:val="00816C8F"/>
    <w:rsid w:val="00826B51"/>
    <w:rsid w:val="0083455D"/>
    <w:rsid w:val="008625FB"/>
    <w:rsid w:val="00866013"/>
    <w:rsid w:val="00885E01"/>
    <w:rsid w:val="00891EE8"/>
    <w:rsid w:val="008A76CD"/>
    <w:rsid w:val="008B360D"/>
    <w:rsid w:val="008B4652"/>
    <w:rsid w:val="008C75E8"/>
    <w:rsid w:val="008D10ED"/>
    <w:rsid w:val="008D7908"/>
    <w:rsid w:val="008D7D16"/>
    <w:rsid w:val="008E2FF0"/>
    <w:rsid w:val="00910565"/>
    <w:rsid w:val="00912197"/>
    <w:rsid w:val="00913A1A"/>
    <w:rsid w:val="009238FB"/>
    <w:rsid w:val="009477DC"/>
    <w:rsid w:val="009536D8"/>
    <w:rsid w:val="00955454"/>
    <w:rsid w:val="00955DC4"/>
    <w:rsid w:val="00960BDB"/>
    <w:rsid w:val="00962784"/>
    <w:rsid w:val="0096329B"/>
    <w:rsid w:val="0097194D"/>
    <w:rsid w:val="009752E9"/>
    <w:rsid w:val="00977420"/>
    <w:rsid w:val="0099027E"/>
    <w:rsid w:val="00992A41"/>
    <w:rsid w:val="009A242D"/>
    <w:rsid w:val="009A3EBC"/>
    <w:rsid w:val="009C3379"/>
    <w:rsid w:val="00A06636"/>
    <w:rsid w:val="00A20224"/>
    <w:rsid w:val="00A317FA"/>
    <w:rsid w:val="00A369A9"/>
    <w:rsid w:val="00A4773A"/>
    <w:rsid w:val="00A50776"/>
    <w:rsid w:val="00A56BD4"/>
    <w:rsid w:val="00A60EBF"/>
    <w:rsid w:val="00A80442"/>
    <w:rsid w:val="00A87F63"/>
    <w:rsid w:val="00A9108C"/>
    <w:rsid w:val="00AA1DF6"/>
    <w:rsid w:val="00AA36C5"/>
    <w:rsid w:val="00AC6182"/>
    <w:rsid w:val="00AD2992"/>
    <w:rsid w:val="00AD7080"/>
    <w:rsid w:val="00AF4CB2"/>
    <w:rsid w:val="00B10348"/>
    <w:rsid w:val="00B10A2A"/>
    <w:rsid w:val="00B12308"/>
    <w:rsid w:val="00B13505"/>
    <w:rsid w:val="00B152B7"/>
    <w:rsid w:val="00B253D1"/>
    <w:rsid w:val="00B25554"/>
    <w:rsid w:val="00B3338B"/>
    <w:rsid w:val="00B35C9C"/>
    <w:rsid w:val="00B51B1B"/>
    <w:rsid w:val="00B575AF"/>
    <w:rsid w:val="00B65460"/>
    <w:rsid w:val="00B656C4"/>
    <w:rsid w:val="00B66D7C"/>
    <w:rsid w:val="00B90010"/>
    <w:rsid w:val="00B96BB6"/>
    <w:rsid w:val="00BC4BBB"/>
    <w:rsid w:val="00BD7901"/>
    <w:rsid w:val="00BE0431"/>
    <w:rsid w:val="00BE7AC6"/>
    <w:rsid w:val="00BF2ECD"/>
    <w:rsid w:val="00BF54FF"/>
    <w:rsid w:val="00C061F6"/>
    <w:rsid w:val="00C11DBC"/>
    <w:rsid w:val="00C21159"/>
    <w:rsid w:val="00C2610B"/>
    <w:rsid w:val="00C321FA"/>
    <w:rsid w:val="00C335E9"/>
    <w:rsid w:val="00C37A23"/>
    <w:rsid w:val="00C5077D"/>
    <w:rsid w:val="00C515E8"/>
    <w:rsid w:val="00C55AA9"/>
    <w:rsid w:val="00C578DC"/>
    <w:rsid w:val="00C57B6A"/>
    <w:rsid w:val="00C64E83"/>
    <w:rsid w:val="00C800AF"/>
    <w:rsid w:val="00C85BA6"/>
    <w:rsid w:val="00CA5962"/>
    <w:rsid w:val="00CA5E22"/>
    <w:rsid w:val="00CC2A94"/>
    <w:rsid w:val="00CC6A06"/>
    <w:rsid w:val="00CD0630"/>
    <w:rsid w:val="00CE38B0"/>
    <w:rsid w:val="00D0021B"/>
    <w:rsid w:val="00D0047A"/>
    <w:rsid w:val="00D060E9"/>
    <w:rsid w:val="00D061EC"/>
    <w:rsid w:val="00D12713"/>
    <w:rsid w:val="00D14999"/>
    <w:rsid w:val="00D20476"/>
    <w:rsid w:val="00D348AE"/>
    <w:rsid w:val="00D36CEC"/>
    <w:rsid w:val="00D37022"/>
    <w:rsid w:val="00D40D5F"/>
    <w:rsid w:val="00D42243"/>
    <w:rsid w:val="00D51495"/>
    <w:rsid w:val="00D6642E"/>
    <w:rsid w:val="00DA6BAB"/>
    <w:rsid w:val="00DB4349"/>
    <w:rsid w:val="00DC7D90"/>
    <w:rsid w:val="00DD1465"/>
    <w:rsid w:val="00DD3A5B"/>
    <w:rsid w:val="00DD5D73"/>
    <w:rsid w:val="00DE0D68"/>
    <w:rsid w:val="00DE24A1"/>
    <w:rsid w:val="00DE2FB4"/>
    <w:rsid w:val="00E1723F"/>
    <w:rsid w:val="00E2700A"/>
    <w:rsid w:val="00E313D8"/>
    <w:rsid w:val="00E3553B"/>
    <w:rsid w:val="00E35CC1"/>
    <w:rsid w:val="00E360F6"/>
    <w:rsid w:val="00E50EF5"/>
    <w:rsid w:val="00E54250"/>
    <w:rsid w:val="00E62DAF"/>
    <w:rsid w:val="00E92E43"/>
    <w:rsid w:val="00E97E71"/>
    <w:rsid w:val="00EA34E8"/>
    <w:rsid w:val="00EC5C5A"/>
    <w:rsid w:val="00ED0055"/>
    <w:rsid w:val="00ED63A9"/>
    <w:rsid w:val="00EF138E"/>
    <w:rsid w:val="00EF74FD"/>
    <w:rsid w:val="00F16E07"/>
    <w:rsid w:val="00F2365C"/>
    <w:rsid w:val="00F34FFB"/>
    <w:rsid w:val="00F3617A"/>
    <w:rsid w:val="00F60665"/>
    <w:rsid w:val="00F64DA3"/>
    <w:rsid w:val="00F65A6F"/>
    <w:rsid w:val="00F77490"/>
    <w:rsid w:val="00F84CFA"/>
    <w:rsid w:val="00F967B2"/>
    <w:rsid w:val="00FA1CAB"/>
    <w:rsid w:val="00FD1980"/>
    <w:rsid w:val="00FE0712"/>
    <w:rsid w:val="02066364"/>
    <w:rsid w:val="02815CE9"/>
    <w:rsid w:val="03134C0F"/>
    <w:rsid w:val="032D4E3E"/>
    <w:rsid w:val="06574CAB"/>
    <w:rsid w:val="06643DC2"/>
    <w:rsid w:val="073B5BC9"/>
    <w:rsid w:val="07BE292C"/>
    <w:rsid w:val="07C65CA5"/>
    <w:rsid w:val="08514037"/>
    <w:rsid w:val="096251C7"/>
    <w:rsid w:val="0D955F12"/>
    <w:rsid w:val="0F0C6523"/>
    <w:rsid w:val="10BB6389"/>
    <w:rsid w:val="11F04FB0"/>
    <w:rsid w:val="11FD41AB"/>
    <w:rsid w:val="174148EA"/>
    <w:rsid w:val="1E79312C"/>
    <w:rsid w:val="20AB2712"/>
    <w:rsid w:val="213B1B76"/>
    <w:rsid w:val="230A0721"/>
    <w:rsid w:val="24100647"/>
    <w:rsid w:val="24BC60E2"/>
    <w:rsid w:val="251B37E1"/>
    <w:rsid w:val="26401ABD"/>
    <w:rsid w:val="2AAC23F9"/>
    <w:rsid w:val="2C422599"/>
    <w:rsid w:val="2FB04883"/>
    <w:rsid w:val="30FC41DF"/>
    <w:rsid w:val="36372CA9"/>
    <w:rsid w:val="381C2D1C"/>
    <w:rsid w:val="39E2569B"/>
    <w:rsid w:val="3A8D0F72"/>
    <w:rsid w:val="3A960DE3"/>
    <w:rsid w:val="3ADF8039"/>
    <w:rsid w:val="3C6F4907"/>
    <w:rsid w:val="3CF573AA"/>
    <w:rsid w:val="3D624079"/>
    <w:rsid w:val="3DFF1026"/>
    <w:rsid w:val="3FFBD36B"/>
    <w:rsid w:val="42275509"/>
    <w:rsid w:val="4611554A"/>
    <w:rsid w:val="499F1D78"/>
    <w:rsid w:val="4A983129"/>
    <w:rsid w:val="4D556624"/>
    <w:rsid w:val="524C7FC2"/>
    <w:rsid w:val="52E00474"/>
    <w:rsid w:val="52EA1CBB"/>
    <w:rsid w:val="53202F13"/>
    <w:rsid w:val="565D3A9C"/>
    <w:rsid w:val="577DB925"/>
    <w:rsid w:val="57C86637"/>
    <w:rsid w:val="59531228"/>
    <w:rsid w:val="5BA66D99"/>
    <w:rsid w:val="5C6B3487"/>
    <w:rsid w:val="5C7436E9"/>
    <w:rsid w:val="5C8255FD"/>
    <w:rsid w:val="5CEE2784"/>
    <w:rsid w:val="5D0E2A44"/>
    <w:rsid w:val="5DB669CE"/>
    <w:rsid w:val="5FE3F82D"/>
    <w:rsid w:val="610E4A4B"/>
    <w:rsid w:val="611F29C3"/>
    <w:rsid w:val="61316624"/>
    <w:rsid w:val="61AD670E"/>
    <w:rsid w:val="620A112B"/>
    <w:rsid w:val="66F9576C"/>
    <w:rsid w:val="67DC6589"/>
    <w:rsid w:val="69D24BFB"/>
    <w:rsid w:val="6A982891"/>
    <w:rsid w:val="6B352872"/>
    <w:rsid w:val="6BE74894"/>
    <w:rsid w:val="6EEE5B5B"/>
    <w:rsid w:val="6F6946EC"/>
    <w:rsid w:val="6F8D7841"/>
    <w:rsid w:val="757F06CF"/>
    <w:rsid w:val="75B740CF"/>
    <w:rsid w:val="78852C26"/>
    <w:rsid w:val="794B6266"/>
    <w:rsid w:val="7CD367EE"/>
    <w:rsid w:val="7E0457F8"/>
    <w:rsid w:val="7EFD57C1"/>
    <w:rsid w:val="7FB341D1"/>
    <w:rsid w:val="7FE01AFA"/>
    <w:rsid w:val="9FBE9639"/>
    <w:rsid w:val="A66F6701"/>
    <w:rsid w:val="ABAB6B84"/>
    <w:rsid w:val="D3DF2B1A"/>
    <w:rsid w:val="EF3BAB14"/>
    <w:rsid w:val="FDA7D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toc 7"/>
    <w:basedOn w:val="1"/>
    <w:next w:val="1"/>
    <w:autoRedefine/>
    <w:semiHidden/>
    <w:unhideWhenUsed/>
    <w:qFormat/>
    <w:uiPriority w:val="39"/>
    <w:pPr>
      <w:ind w:left="2520" w:leftChars="1200"/>
    </w:pPr>
  </w:style>
  <w:style w:type="paragraph" w:styleId="3">
    <w:name w:val="annotation text"/>
    <w:basedOn w:val="1"/>
    <w:link w:val="30"/>
    <w:autoRedefine/>
    <w:unhideWhenUsed/>
    <w:qFormat/>
    <w:uiPriority w:val="0"/>
    <w:pPr>
      <w:jc w:val="left"/>
    </w:pPr>
  </w:style>
  <w:style w:type="paragraph" w:styleId="4">
    <w:name w:val="Body Text"/>
    <w:basedOn w:val="1"/>
    <w:autoRedefine/>
    <w:semiHidden/>
    <w:qFormat/>
    <w:uiPriority w:val="0"/>
    <w:rPr>
      <w:rFonts w:ascii="宋体" w:hAnsi="宋体" w:cs="宋体"/>
      <w:sz w:val="35"/>
      <w:szCs w:val="35"/>
      <w:lang w:eastAsia="en-US"/>
    </w:rPr>
  </w:style>
  <w:style w:type="paragraph" w:styleId="5">
    <w:name w:val="toc 5"/>
    <w:basedOn w:val="1"/>
    <w:next w:val="1"/>
    <w:autoRedefine/>
    <w:semiHidden/>
    <w:unhideWhenUsed/>
    <w:qFormat/>
    <w:uiPriority w:val="39"/>
    <w:pPr>
      <w:ind w:left="1680" w:leftChars="800"/>
    </w:pPr>
  </w:style>
  <w:style w:type="paragraph" w:styleId="6">
    <w:name w:val="toc 3"/>
    <w:basedOn w:val="1"/>
    <w:next w:val="1"/>
    <w:autoRedefine/>
    <w:semiHidden/>
    <w:unhideWhenUsed/>
    <w:qFormat/>
    <w:uiPriority w:val="39"/>
    <w:pPr>
      <w:ind w:left="840" w:leftChars="400"/>
    </w:pPr>
  </w:style>
  <w:style w:type="paragraph" w:styleId="7">
    <w:name w:val="toc 8"/>
    <w:basedOn w:val="1"/>
    <w:next w:val="1"/>
    <w:autoRedefine/>
    <w:semiHidden/>
    <w:unhideWhenUsed/>
    <w:qFormat/>
    <w:uiPriority w:val="39"/>
    <w:pPr>
      <w:ind w:left="2940" w:leftChars="1400"/>
    </w:pPr>
  </w:style>
  <w:style w:type="paragraph" w:styleId="8">
    <w:name w:val="Balloon Text"/>
    <w:basedOn w:val="1"/>
    <w:link w:val="27"/>
    <w:autoRedefine/>
    <w:unhideWhenUsed/>
    <w:qFormat/>
    <w:uiPriority w:val="99"/>
    <w:rPr>
      <w:sz w:val="18"/>
      <w:szCs w:val="18"/>
    </w:rPr>
  </w:style>
  <w:style w:type="paragraph" w:styleId="9">
    <w:name w:val="footer"/>
    <w:basedOn w:val="1"/>
    <w:link w:val="24"/>
    <w:autoRedefine/>
    <w:unhideWhenUsed/>
    <w:qFormat/>
    <w:uiPriority w:val="99"/>
    <w:pPr>
      <w:tabs>
        <w:tab w:val="center" w:pos="4153"/>
        <w:tab w:val="right" w:pos="8306"/>
      </w:tabs>
      <w:snapToGrid w:val="0"/>
      <w:jc w:val="left"/>
    </w:pPr>
    <w:rPr>
      <w:sz w:val="18"/>
      <w:szCs w:val="18"/>
    </w:rPr>
  </w:style>
  <w:style w:type="paragraph" w:styleId="10">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semiHidden/>
    <w:unhideWhenUsed/>
    <w:qFormat/>
    <w:uiPriority w:val="39"/>
  </w:style>
  <w:style w:type="paragraph" w:styleId="12">
    <w:name w:val="toc 4"/>
    <w:basedOn w:val="1"/>
    <w:next w:val="1"/>
    <w:autoRedefine/>
    <w:semiHidden/>
    <w:unhideWhenUsed/>
    <w:qFormat/>
    <w:uiPriority w:val="39"/>
    <w:pPr>
      <w:ind w:left="1260" w:leftChars="600"/>
    </w:pPr>
  </w:style>
  <w:style w:type="paragraph" w:styleId="13">
    <w:name w:val="toc 6"/>
    <w:basedOn w:val="1"/>
    <w:next w:val="1"/>
    <w:autoRedefine/>
    <w:semiHidden/>
    <w:unhideWhenUsed/>
    <w:qFormat/>
    <w:uiPriority w:val="39"/>
    <w:pPr>
      <w:ind w:left="2100" w:leftChars="1000"/>
    </w:pPr>
  </w:style>
  <w:style w:type="paragraph" w:styleId="14">
    <w:name w:val="toc 2"/>
    <w:basedOn w:val="1"/>
    <w:next w:val="1"/>
    <w:autoRedefine/>
    <w:semiHidden/>
    <w:unhideWhenUsed/>
    <w:qFormat/>
    <w:uiPriority w:val="39"/>
    <w:pPr>
      <w:ind w:left="420" w:leftChars="200"/>
    </w:pPr>
  </w:style>
  <w:style w:type="paragraph" w:styleId="15">
    <w:name w:val="toc 9"/>
    <w:basedOn w:val="1"/>
    <w:next w:val="1"/>
    <w:autoRedefine/>
    <w:semiHidden/>
    <w:unhideWhenUsed/>
    <w:qFormat/>
    <w:uiPriority w:val="39"/>
    <w:pPr>
      <w:ind w:left="3360" w:leftChars="1600"/>
    </w:pPr>
  </w:style>
  <w:style w:type="paragraph" w:styleId="16">
    <w:name w:val="Normal (Web)"/>
    <w:basedOn w:val="1"/>
    <w:autoRedefine/>
    <w:semiHidden/>
    <w:unhideWhenUsed/>
    <w:qFormat/>
    <w:uiPriority w:val="99"/>
    <w:pPr>
      <w:spacing w:beforeAutospacing="1" w:afterAutospacing="1"/>
      <w:jc w:val="left"/>
    </w:pPr>
    <w:rPr>
      <w:kern w:val="0"/>
      <w:sz w:val="24"/>
    </w:rPr>
  </w:style>
  <w:style w:type="paragraph" w:styleId="17">
    <w:name w:val="annotation subject"/>
    <w:basedOn w:val="3"/>
    <w:next w:val="3"/>
    <w:link w:val="31"/>
    <w:autoRedefine/>
    <w:semiHidden/>
    <w:unhideWhenUsed/>
    <w:qFormat/>
    <w:uiPriority w:val="99"/>
    <w:rPr>
      <w:b/>
      <w:bCs/>
    </w:rPr>
  </w:style>
  <w:style w:type="table" w:styleId="19">
    <w:name w:val="Table Grid"/>
    <w:basedOn w:val="1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Emphasis"/>
    <w:basedOn w:val="20"/>
    <w:qFormat/>
    <w:uiPriority w:val="0"/>
    <w:rPr>
      <w:i/>
    </w:rPr>
  </w:style>
  <w:style w:type="character" w:styleId="22">
    <w:name w:val="annotation reference"/>
    <w:basedOn w:val="20"/>
    <w:autoRedefine/>
    <w:semiHidden/>
    <w:unhideWhenUsed/>
    <w:qFormat/>
    <w:uiPriority w:val="0"/>
    <w:rPr>
      <w:sz w:val="21"/>
      <w:szCs w:val="21"/>
    </w:rPr>
  </w:style>
  <w:style w:type="paragraph" w:customStyle="1" w:styleId="23">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4">
    <w:name w:val="页脚 字符"/>
    <w:basedOn w:val="20"/>
    <w:link w:val="9"/>
    <w:autoRedefine/>
    <w:qFormat/>
    <w:uiPriority w:val="99"/>
    <w:rPr>
      <w:rFonts w:ascii="Calibri" w:hAnsi="Calibri" w:eastAsia="宋体" w:cs="Times New Roman"/>
      <w:sz w:val="18"/>
      <w:szCs w:val="18"/>
    </w:rPr>
  </w:style>
  <w:style w:type="paragraph" w:customStyle="1" w:styleId="25">
    <w:name w:val="列出段落1"/>
    <w:basedOn w:val="1"/>
    <w:autoRedefine/>
    <w:qFormat/>
    <w:uiPriority w:val="34"/>
    <w:pPr>
      <w:numPr>
        <w:ilvl w:val="0"/>
        <w:numId w:val="1"/>
      </w:numPr>
      <w:adjustRightInd w:val="0"/>
      <w:snapToGrid w:val="0"/>
      <w:spacing w:line="560" w:lineRule="exact"/>
    </w:pPr>
  </w:style>
  <w:style w:type="character" w:customStyle="1" w:styleId="26">
    <w:name w:val="页眉 字符"/>
    <w:basedOn w:val="20"/>
    <w:link w:val="10"/>
    <w:autoRedefine/>
    <w:semiHidden/>
    <w:qFormat/>
    <w:uiPriority w:val="99"/>
    <w:rPr>
      <w:rFonts w:ascii="Calibri" w:hAnsi="Calibri" w:eastAsia="宋体" w:cs="Times New Roman"/>
      <w:sz w:val="18"/>
      <w:szCs w:val="18"/>
    </w:rPr>
  </w:style>
  <w:style w:type="character" w:customStyle="1" w:styleId="27">
    <w:name w:val="批注框文本 字符"/>
    <w:basedOn w:val="20"/>
    <w:link w:val="8"/>
    <w:autoRedefine/>
    <w:semiHidden/>
    <w:qFormat/>
    <w:uiPriority w:val="99"/>
    <w:rPr>
      <w:rFonts w:ascii="Calibri" w:hAnsi="Calibri" w:eastAsia="宋体" w:cs="Times New Roman"/>
      <w:sz w:val="18"/>
      <w:szCs w:val="18"/>
    </w:rPr>
  </w:style>
  <w:style w:type="paragraph" w:customStyle="1" w:styleId="28">
    <w:name w:val="修订1"/>
    <w:autoRedefine/>
    <w:hidden/>
    <w:semiHidden/>
    <w:qFormat/>
    <w:uiPriority w:val="99"/>
    <w:rPr>
      <w:rFonts w:ascii="Calibri" w:hAnsi="Calibri" w:eastAsia="宋体" w:cs="Times New Roman"/>
      <w:kern w:val="2"/>
      <w:sz w:val="21"/>
      <w:szCs w:val="22"/>
      <w:lang w:val="en-US" w:eastAsia="zh-CN" w:bidi="ar-SA"/>
    </w:rPr>
  </w:style>
  <w:style w:type="paragraph" w:styleId="29">
    <w:name w:val="List Paragraph"/>
    <w:basedOn w:val="1"/>
    <w:autoRedefine/>
    <w:qFormat/>
    <w:uiPriority w:val="99"/>
    <w:pPr>
      <w:ind w:firstLine="420" w:firstLineChars="200"/>
    </w:pPr>
  </w:style>
  <w:style w:type="character" w:customStyle="1" w:styleId="30">
    <w:name w:val="批注文字 字符"/>
    <w:basedOn w:val="20"/>
    <w:link w:val="3"/>
    <w:autoRedefine/>
    <w:qFormat/>
    <w:uiPriority w:val="0"/>
    <w:rPr>
      <w:rFonts w:ascii="Calibri" w:hAnsi="Calibri"/>
      <w:kern w:val="2"/>
      <w:sz w:val="21"/>
      <w:szCs w:val="22"/>
    </w:rPr>
  </w:style>
  <w:style w:type="character" w:customStyle="1" w:styleId="31">
    <w:name w:val="批注主题 字符"/>
    <w:basedOn w:val="30"/>
    <w:link w:val="17"/>
    <w:autoRedefine/>
    <w:qFormat/>
    <w:uiPriority w:val="0"/>
    <w:rPr>
      <w:rFonts w:ascii="Calibri" w:hAnsi="Calibri" w:eastAsia="宋体" w:cs="Times New Roman"/>
      <w:kern w:val="2"/>
      <w:sz w:val="21"/>
      <w:szCs w:val="22"/>
    </w:rPr>
  </w:style>
  <w:style w:type="paragraph" w:customStyle="1" w:styleId="32">
    <w:name w:val="修订2"/>
    <w:autoRedefine/>
    <w:hidden/>
    <w:semiHidden/>
    <w:qFormat/>
    <w:uiPriority w:val="99"/>
    <w:rPr>
      <w:rFonts w:ascii="Calibri" w:hAnsi="Calibri" w:eastAsia="宋体" w:cs="Times New Roman"/>
      <w:kern w:val="2"/>
      <w:sz w:val="21"/>
      <w:szCs w:val="22"/>
      <w:lang w:val="en-US" w:eastAsia="zh-CN" w:bidi="ar-SA"/>
    </w:rPr>
  </w:style>
  <w:style w:type="paragraph" w:customStyle="1" w:styleId="33">
    <w:name w:val="修订3"/>
    <w:autoRedefine/>
    <w:hidden/>
    <w:unhideWhenUsed/>
    <w:qFormat/>
    <w:uiPriority w:val="99"/>
    <w:rPr>
      <w:rFonts w:ascii="Calibri" w:hAnsi="Calibri" w:eastAsia="宋体" w:cs="Times New Roman"/>
      <w:kern w:val="2"/>
      <w:sz w:val="21"/>
      <w:szCs w:val="22"/>
      <w:lang w:val="en-US" w:eastAsia="zh-CN" w:bidi="ar-SA"/>
    </w:rPr>
  </w:style>
  <w:style w:type="paragraph" w:customStyle="1" w:styleId="34">
    <w:name w:val="修订4"/>
    <w:autoRedefine/>
    <w:hidden/>
    <w:unhideWhenUsed/>
    <w:qFormat/>
    <w:uiPriority w:val="99"/>
    <w:rPr>
      <w:rFonts w:ascii="Calibri" w:hAnsi="Calibri" w:eastAsia="宋体" w:cs="Times New Roman"/>
      <w:kern w:val="2"/>
      <w:sz w:val="21"/>
      <w:szCs w:val="22"/>
      <w:lang w:val="en-US" w:eastAsia="zh-CN" w:bidi="ar-SA"/>
    </w:rPr>
  </w:style>
  <w:style w:type="character" w:customStyle="1" w:styleId="35">
    <w:name w:val="font11"/>
    <w:basedOn w:val="20"/>
    <w:qFormat/>
    <w:uiPriority w:val="0"/>
    <w:rPr>
      <w:rFonts w:hint="eastAsia" w:ascii="宋体" w:hAnsi="宋体" w:eastAsia="宋体" w:cs="宋体"/>
      <w:b/>
      <w:bCs/>
      <w:color w:val="000000"/>
      <w:sz w:val="21"/>
      <w:szCs w:val="21"/>
      <w:u w:val="none"/>
    </w:rPr>
  </w:style>
  <w:style w:type="paragraph" w:customStyle="1" w:styleId="36">
    <w:name w:val="Revision"/>
    <w:hidden/>
    <w:unhideWhenUsed/>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3842</Words>
  <Characters>4584</Characters>
  <Lines>207</Lines>
  <Paragraphs>235</Paragraphs>
  <TotalTime>100</TotalTime>
  <ScaleCrop>false</ScaleCrop>
  <LinksUpToDate>false</LinksUpToDate>
  <CharactersWithSpaces>4645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2022-04-26T04:27:00Z</dcterms:created>
  <dc:creator>tek</dc:creator>
  <cp:lastModifiedBy>雯亦</cp:lastModifiedBy>
  <dcterms:modified xsi:type="dcterms:W3CDTF">2025-12-10T05:09:13Z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C3AF4A269103462E9AAA466271DBD277_13</vt:lpwstr>
  </property>
  <property fmtid="{D5CDD505-2E9C-101B-9397-08002B2CF9AE}" pid="4" name="KSOTemplateDocerSaveRecord">
    <vt:lpwstr>eyJoZGlkIjoiZTQzZmRmZDMxMjkwMDE2NTk0ZWQ1ZWYwMzRmYjVhNmUiLCJ1c2VySWQiOiI2NDQwNzQxNTQifQ==</vt:lpwstr>
  </property>
</Properties>
</file>