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9A3" w:rsidRDefault="00000000">
      <w:pPr>
        <w:pStyle w:val="a3"/>
        <w:spacing w:line="240" w:lineRule="auto"/>
        <w:rPr>
          <w:rFonts w:ascii="Times New Roman" w:eastAsia="黑体"/>
          <w:b/>
          <w:bCs/>
          <w:kern w:val="2"/>
          <w:sz w:val="32"/>
          <w:szCs w:val="32"/>
        </w:rPr>
      </w:pPr>
      <w:proofErr w:type="gramStart"/>
      <w:r>
        <w:rPr>
          <w:rFonts w:ascii="Times New Roman" w:eastAsia="黑体" w:hint="eastAsia"/>
          <w:b/>
          <w:bCs/>
          <w:kern w:val="2"/>
          <w:sz w:val="32"/>
          <w:szCs w:val="32"/>
        </w:rPr>
        <w:t>重庆望变电气</w:t>
      </w:r>
      <w:proofErr w:type="gramEnd"/>
      <w:r>
        <w:rPr>
          <w:rFonts w:ascii="Times New Roman" w:eastAsia="黑体" w:hint="eastAsia"/>
          <w:b/>
          <w:bCs/>
          <w:kern w:val="2"/>
          <w:sz w:val="32"/>
          <w:szCs w:val="32"/>
        </w:rPr>
        <w:t>（集团）股份有限公司</w:t>
      </w:r>
      <w:r>
        <w:rPr>
          <w:rFonts w:ascii="Times New Roman" w:eastAsia="黑体"/>
          <w:b/>
          <w:bCs/>
          <w:kern w:val="2"/>
          <w:sz w:val="32"/>
          <w:szCs w:val="32"/>
        </w:rPr>
        <w:br/>
      </w:r>
      <w:r>
        <w:rPr>
          <w:rFonts w:ascii="Times New Roman" w:eastAsia="黑体" w:hint="eastAsia"/>
          <w:b/>
          <w:bCs/>
          <w:kern w:val="2"/>
          <w:sz w:val="32"/>
          <w:szCs w:val="32"/>
        </w:rPr>
        <w:t>第四届董事会审计委员会第十一次会议</w:t>
      </w:r>
    </w:p>
    <w:p w:rsidR="00C639A3" w:rsidRDefault="00000000">
      <w:pPr>
        <w:pStyle w:val="a3"/>
        <w:spacing w:line="240" w:lineRule="auto"/>
        <w:rPr>
          <w:rFonts w:ascii="Times New Roman" w:eastAsia="黑体"/>
          <w:b/>
          <w:bCs/>
          <w:kern w:val="2"/>
          <w:sz w:val="32"/>
          <w:szCs w:val="32"/>
        </w:rPr>
      </w:pPr>
      <w:r>
        <w:rPr>
          <w:rFonts w:ascii="Times New Roman" w:eastAsia="黑体" w:hint="eastAsia"/>
          <w:b/>
          <w:bCs/>
          <w:kern w:val="2"/>
          <w:sz w:val="32"/>
          <w:szCs w:val="32"/>
        </w:rPr>
        <w:t>审查意见</w:t>
      </w:r>
    </w:p>
    <w:p w:rsidR="00C639A3" w:rsidRDefault="00C639A3">
      <w:pPr>
        <w:pStyle w:val="a3"/>
        <w:tabs>
          <w:tab w:val="left" w:pos="1134"/>
        </w:tabs>
        <w:spacing w:line="500" w:lineRule="exact"/>
        <w:ind w:firstLineChars="200" w:firstLine="480"/>
        <w:jc w:val="both"/>
        <w:rPr>
          <w:rFonts w:ascii="Times New Roman" w:eastAsiaTheme="minorEastAsia"/>
          <w:sz w:val="24"/>
          <w:szCs w:val="24"/>
        </w:rPr>
      </w:pPr>
    </w:p>
    <w:p w:rsidR="00C639A3" w:rsidRDefault="00000000">
      <w:pPr>
        <w:pStyle w:val="a3"/>
        <w:tabs>
          <w:tab w:val="left" w:pos="1134"/>
        </w:tabs>
        <w:ind w:firstLineChars="200" w:firstLine="480"/>
        <w:jc w:val="both"/>
        <w:rPr>
          <w:rFonts w:ascii="Times New Roman" w:eastAsiaTheme="minorEastAsia"/>
          <w:sz w:val="24"/>
          <w:szCs w:val="24"/>
        </w:rPr>
      </w:pPr>
      <w:proofErr w:type="gramStart"/>
      <w:r>
        <w:rPr>
          <w:rFonts w:ascii="Times New Roman" w:eastAsiaTheme="minorEastAsia" w:hint="eastAsia"/>
          <w:sz w:val="24"/>
          <w:szCs w:val="24"/>
        </w:rPr>
        <w:t>重庆望变电气</w:t>
      </w:r>
      <w:proofErr w:type="gramEnd"/>
      <w:r>
        <w:rPr>
          <w:rFonts w:ascii="Times New Roman" w:eastAsiaTheme="minorEastAsia" w:hint="eastAsia"/>
          <w:sz w:val="24"/>
          <w:szCs w:val="24"/>
        </w:rPr>
        <w:t>（集团）股份有限公司（以下简称“公司”）第四届董事会审计委员会第十一次会议</w:t>
      </w:r>
      <w:r>
        <w:rPr>
          <w:rFonts w:ascii="Times New Roman" w:eastAsiaTheme="minorEastAsia"/>
          <w:sz w:val="24"/>
          <w:szCs w:val="24"/>
        </w:rPr>
        <w:t>的通知于</w:t>
      </w:r>
      <w:r>
        <w:rPr>
          <w:rFonts w:ascii="Times New Roman" w:eastAsiaTheme="minorEastAsia" w:hint="eastAsia"/>
          <w:sz w:val="24"/>
          <w:szCs w:val="24"/>
        </w:rPr>
        <w:t>2026</w:t>
      </w:r>
      <w:r>
        <w:rPr>
          <w:rFonts w:ascii="Times New Roman" w:eastAsiaTheme="minorEastAsia" w:hint="eastAsia"/>
          <w:sz w:val="24"/>
          <w:szCs w:val="24"/>
        </w:rPr>
        <w:t>年</w:t>
      </w:r>
      <w:r>
        <w:rPr>
          <w:rFonts w:ascii="Times New Roman" w:eastAsiaTheme="minorEastAsia" w:hint="eastAsia"/>
          <w:sz w:val="24"/>
          <w:szCs w:val="24"/>
        </w:rPr>
        <w:t>2</w:t>
      </w:r>
      <w:r>
        <w:rPr>
          <w:rFonts w:ascii="Times New Roman" w:eastAsiaTheme="minorEastAsia" w:hint="eastAsia"/>
          <w:sz w:val="24"/>
          <w:szCs w:val="24"/>
        </w:rPr>
        <w:t>月</w:t>
      </w:r>
      <w:r>
        <w:rPr>
          <w:rFonts w:ascii="Times New Roman" w:eastAsiaTheme="minorEastAsia" w:hint="eastAsia"/>
          <w:sz w:val="24"/>
          <w:szCs w:val="24"/>
        </w:rPr>
        <w:t>1</w:t>
      </w:r>
      <w:r>
        <w:rPr>
          <w:rFonts w:ascii="Times New Roman" w:eastAsiaTheme="minorEastAsia" w:hint="eastAsia"/>
          <w:sz w:val="24"/>
          <w:szCs w:val="24"/>
        </w:rPr>
        <w:t>日</w:t>
      </w:r>
      <w:r>
        <w:rPr>
          <w:rFonts w:ascii="Times New Roman" w:eastAsiaTheme="minorEastAsia"/>
          <w:sz w:val="24"/>
          <w:szCs w:val="24"/>
        </w:rPr>
        <w:t>以邮件、电话等方式向各位</w:t>
      </w:r>
      <w:r>
        <w:rPr>
          <w:rFonts w:ascii="Times New Roman" w:eastAsiaTheme="minorEastAsia" w:hint="eastAsia"/>
          <w:sz w:val="24"/>
          <w:szCs w:val="24"/>
        </w:rPr>
        <w:t>委员</w:t>
      </w:r>
      <w:r>
        <w:rPr>
          <w:rFonts w:ascii="Times New Roman" w:eastAsiaTheme="minorEastAsia"/>
          <w:sz w:val="24"/>
          <w:szCs w:val="24"/>
        </w:rPr>
        <w:t>发出，并于</w:t>
      </w:r>
      <w:r>
        <w:rPr>
          <w:rFonts w:ascii="Times New Roman" w:eastAsiaTheme="minorEastAsia" w:hint="eastAsia"/>
          <w:sz w:val="24"/>
          <w:szCs w:val="24"/>
        </w:rPr>
        <w:t>2026</w:t>
      </w:r>
      <w:r>
        <w:rPr>
          <w:rFonts w:ascii="Times New Roman" w:eastAsiaTheme="minorEastAsia" w:hint="eastAsia"/>
          <w:sz w:val="24"/>
          <w:szCs w:val="24"/>
        </w:rPr>
        <w:t>年</w:t>
      </w:r>
      <w:r>
        <w:rPr>
          <w:rFonts w:ascii="Times New Roman" w:eastAsiaTheme="minorEastAsia" w:hint="eastAsia"/>
          <w:sz w:val="24"/>
          <w:szCs w:val="24"/>
        </w:rPr>
        <w:t>2</w:t>
      </w:r>
      <w:r>
        <w:rPr>
          <w:rFonts w:ascii="Times New Roman" w:eastAsiaTheme="minorEastAsia" w:hint="eastAsia"/>
          <w:sz w:val="24"/>
          <w:szCs w:val="24"/>
        </w:rPr>
        <w:t>月</w:t>
      </w:r>
      <w:r>
        <w:rPr>
          <w:rFonts w:ascii="Times New Roman" w:eastAsiaTheme="minorEastAsia" w:hint="eastAsia"/>
          <w:sz w:val="24"/>
          <w:szCs w:val="24"/>
        </w:rPr>
        <w:t>6</w:t>
      </w:r>
      <w:r>
        <w:rPr>
          <w:rFonts w:ascii="Times New Roman" w:eastAsiaTheme="minorEastAsia" w:hint="eastAsia"/>
          <w:sz w:val="24"/>
          <w:szCs w:val="24"/>
        </w:rPr>
        <w:t>日</w:t>
      </w:r>
      <w:r>
        <w:rPr>
          <w:rFonts w:ascii="Times New Roman" w:eastAsiaTheme="minorEastAsia"/>
          <w:sz w:val="24"/>
          <w:szCs w:val="24"/>
        </w:rPr>
        <w:t>在公司会议室以现场</w:t>
      </w:r>
      <w:r>
        <w:rPr>
          <w:rFonts w:ascii="Times New Roman" w:eastAsiaTheme="minorEastAsia" w:hint="eastAsia"/>
          <w:sz w:val="24"/>
          <w:szCs w:val="24"/>
        </w:rPr>
        <w:t>结合通讯</w:t>
      </w:r>
      <w:r>
        <w:rPr>
          <w:rFonts w:ascii="Times New Roman" w:eastAsiaTheme="minorEastAsia"/>
          <w:sz w:val="24"/>
          <w:szCs w:val="24"/>
        </w:rPr>
        <w:t>的方式召开。会议应到</w:t>
      </w:r>
      <w:r>
        <w:rPr>
          <w:rFonts w:ascii="Times New Roman" w:eastAsiaTheme="minorEastAsia" w:hint="eastAsia"/>
          <w:sz w:val="24"/>
          <w:szCs w:val="24"/>
        </w:rPr>
        <w:t>委员</w:t>
      </w:r>
      <w:r>
        <w:rPr>
          <w:rFonts w:ascii="Times New Roman" w:eastAsiaTheme="minorEastAsia" w:hint="eastAsia"/>
          <w:sz w:val="24"/>
          <w:szCs w:val="24"/>
        </w:rPr>
        <w:t>3</w:t>
      </w:r>
      <w:r>
        <w:rPr>
          <w:rFonts w:ascii="Times New Roman" w:eastAsiaTheme="minorEastAsia"/>
          <w:sz w:val="24"/>
          <w:szCs w:val="24"/>
        </w:rPr>
        <w:t>名，实到</w:t>
      </w:r>
      <w:r>
        <w:rPr>
          <w:rFonts w:ascii="Times New Roman" w:eastAsiaTheme="minorEastAsia" w:hint="eastAsia"/>
          <w:sz w:val="24"/>
          <w:szCs w:val="24"/>
        </w:rPr>
        <w:t>委员</w:t>
      </w:r>
      <w:r>
        <w:rPr>
          <w:rFonts w:ascii="Times New Roman" w:eastAsiaTheme="minorEastAsia" w:hint="eastAsia"/>
          <w:sz w:val="24"/>
          <w:szCs w:val="24"/>
        </w:rPr>
        <w:t>3</w:t>
      </w:r>
      <w:r>
        <w:rPr>
          <w:rFonts w:ascii="Times New Roman" w:eastAsiaTheme="minorEastAsia"/>
          <w:sz w:val="24"/>
          <w:szCs w:val="24"/>
        </w:rPr>
        <w:t>名。会议的召开及表决符合《中华人民共和国公司法》《重庆望变电气（集团）股份有限公司章程》</w:t>
      </w:r>
      <w:r>
        <w:rPr>
          <w:rFonts w:ascii="Times New Roman" w:eastAsiaTheme="minorEastAsia" w:hint="eastAsia"/>
          <w:sz w:val="24"/>
          <w:szCs w:val="24"/>
        </w:rPr>
        <w:t>（以下简称“《公司章程》”）</w:t>
      </w:r>
      <w:r>
        <w:rPr>
          <w:rFonts w:ascii="Times New Roman" w:eastAsiaTheme="minorEastAsia"/>
          <w:sz w:val="24"/>
          <w:szCs w:val="24"/>
        </w:rPr>
        <w:t>等有关规定。</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根据</w:t>
      </w:r>
      <w:r>
        <w:rPr>
          <w:rFonts w:ascii="Times New Roman" w:eastAsiaTheme="minorEastAsia"/>
          <w:sz w:val="24"/>
          <w:szCs w:val="24"/>
        </w:rPr>
        <w:t>《</w:t>
      </w:r>
      <w:r>
        <w:rPr>
          <w:rFonts w:ascii="Times New Roman" w:eastAsiaTheme="minorEastAsia" w:hint="eastAsia"/>
          <w:sz w:val="24"/>
          <w:szCs w:val="24"/>
        </w:rPr>
        <w:t>中华人民共和国</w:t>
      </w:r>
      <w:r>
        <w:rPr>
          <w:rFonts w:ascii="Times New Roman" w:eastAsiaTheme="minorEastAsia"/>
          <w:sz w:val="24"/>
          <w:szCs w:val="24"/>
        </w:rPr>
        <w:t>公司法》</w:t>
      </w:r>
      <w:r>
        <w:rPr>
          <w:rFonts w:ascii="Times New Roman" w:eastAsiaTheme="minorEastAsia" w:hint="eastAsia"/>
          <w:sz w:val="24"/>
          <w:szCs w:val="24"/>
        </w:rPr>
        <w:t>（以下简称“《公司法》”）、《中华人民共和国证券法》（以下简称“</w:t>
      </w:r>
      <w:r>
        <w:rPr>
          <w:rFonts w:ascii="Times New Roman" w:eastAsiaTheme="minorEastAsia"/>
          <w:sz w:val="24"/>
          <w:szCs w:val="24"/>
        </w:rPr>
        <w:t>《</w:t>
      </w:r>
      <w:r>
        <w:rPr>
          <w:rFonts w:ascii="Times New Roman" w:eastAsiaTheme="minorEastAsia" w:hint="eastAsia"/>
          <w:sz w:val="24"/>
          <w:szCs w:val="24"/>
        </w:rPr>
        <w:t>证券法</w:t>
      </w:r>
      <w:r>
        <w:rPr>
          <w:rFonts w:ascii="Times New Roman" w:eastAsiaTheme="minorEastAsia"/>
          <w:sz w:val="24"/>
          <w:szCs w:val="24"/>
        </w:rPr>
        <w:t>》</w:t>
      </w:r>
      <w:r>
        <w:rPr>
          <w:rFonts w:ascii="Times New Roman" w:eastAsiaTheme="minorEastAsia" w:hint="eastAsia"/>
          <w:sz w:val="24"/>
          <w:szCs w:val="24"/>
        </w:rPr>
        <w:t>”）、《上市公司证券发行注册管理办法》（以下简称“</w:t>
      </w:r>
      <w:r>
        <w:rPr>
          <w:rFonts w:ascii="Times New Roman" w:eastAsiaTheme="minorEastAsia"/>
          <w:sz w:val="24"/>
          <w:szCs w:val="24"/>
        </w:rPr>
        <w:t>《发行注册管理办法》</w:t>
      </w:r>
      <w:r>
        <w:rPr>
          <w:rFonts w:ascii="Times New Roman" w:eastAsiaTheme="minorEastAsia" w:hint="eastAsia"/>
          <w:sz w:val="24"/>
          <w:szCs w:val="24"/>
        </w:rPr>
        <w:t>”）、《上海证券交易所股票上市规则》《</w:t>
      </w:r>
      <w:r>
        <w:rPr>
          <w:rFonts w:ascii="Times New Roman" w:eastAsiaTheme="minorEastAsia"/>
          <w:sz w:val="24"/>
          <w:szCs w:val="24"/>
        </w:rPr>
        <w:t>上海证券交易所上市公司自律监管指引第</w:t>
      </w:r>
      <w:r>
        <w:rPr>
          <w:rFonts w:ascii="Times New Roman" w:eastAsiaTheme="minorEastAsia"/>
          <w:sz w:val="24"/>
          <w:szCs w:val="24"/>
        </w:rPr>
        <w:t>5</w:t>
      </w:r>
      <w:r>
        <w:rPr>
          <w:rFonts w:ascii="Times New Roman" w:eastAsiaTheme="minorEastAsia"/>
          <w:sz w:val="24"/>
          <w:szCs w:val="24"/>
        </w:rPr>
        <w:t>号</w:t>
      </w:r>
      <w:r>
        <w:rPr>
          <w:rFonts w:ascii="Times New Roman" w:eastAsiaTheme="minorEastAsia"/>
          <w:sz w:val="24"/>
          <w:szCs w:val="24"/>
        </w:rPr>
        <w:t>——</w:t>
      </w:r>
      <w:r>
        <w:rPr>
          <w:rFonts w:ascii="Times New Roman" w:eastAsiaTheme="minorEastAsia"/>
          <w:sz w:val="24"/>
          <w:szCs w:val="24"/>
        </w:rPr>
        <w:t>交易与关联交易</w:t>
      </w:r>
      <w:r>
        <w:rPr>
          <w:rFonts w:ascii="Times New Roman" w:eastAsiaTheme="minorEastAsia" w:hint="eastAsia"/>
          <w:sz w:val="24"/>
          <w:szCs w:val="24"/>
        </w:rPr>
        <w:t>》等法律法规、规范性文件及《公司章程》的有关规定，公司董事会审计委员会对拟提交公司第四届董事会第十七次会议的关联交易事项进行了审阅，现发表如下书面审核意见：</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1</w:t>
      </w:r>
      <w:r>
        <w:rPr>
          <w:rFonts w:ascii="Times New Roman" w:eastAsiaTheme="minorEastAsia" w:hint="eastAsia"/>
          <w:sz w:val="24"/>
          <w:szCs w:val="24"/>
        </w:rPr>
        <w:t>、</w:t>
      </w:r>
      <w:r>
        <w:rPr>
          <w:rFonts w:ascii="Times New Roman" w:eastAsiaTheme="minorEastAsia"/>
          <w:sz w:val="24"/>
          <w:szCs w:val="24"/>
        </w:rPr>
        <w:t>经对公司的实际经营情况及相关事项进行逐项自查，我们认为公司符合现行向特定对象发行股票的有关规定，具备向特定对象发行股票的条件；</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2</w:t>
      </w:r>
      <w:r>
        <w:rPr>
          <w:rFonts w:ascii="Times New Roman" w:eastAsiaTheme="minorEastAsia" w:hint="eastAsia"/>
          <w:sz w:val="24"/>
          <w:szCs w:val="24"/>
        </w:rPr>
        <w:t>、</w:t>
      </w:r>
      <w:r>
        <w:rPr>
          <w:rFonts w:ascii="Times New Roman" w:eastAsiaTheme="minorEastAsia"/>
          <w:sz w:val="24"/>
          <w:szCs w:val="24"/>
        </w:rPr>
        <w:t>本次发行的方案、预案以及发行方案论证分析报告符合《公司法》《证券法》《发行注册管理办法》等相关法律、法规及规范性文件的规定；</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3</w:t>
      </w:r>
      <w:r>
        <w:rPr>
          <w:rFonts w:ascii="Times New Roman" w:eastAsiaTheme="minorEastAsia" w:hint="eastAsia"/>
          <w:sz w:val="24"/>
          <w:szCs w:val="24"/>
        </w:rPr>
        <w:t>、</w:t>
      </w:r>
      <w:r>
        <w:rPr>
          <w:rFonts w:ascii="Times New Roman" w:eastAsiaTheme="minorEastAsia"/>
          <w:sz w:val="24"/>
          <w:szCs w:val="24"/>
        </w:rPr>
        <w:t>根据</w:t>
      </w:r>
      <w:r>
        <w:rPr>
          <w:rFonts w:ascii="Times New Roman" w:eastAsiaTheme="minorEastAsia" w:hint="eastAsia"/>
          <w:sz w:val="24"/>
          <w:szCs w:val="24"/>
        </w:rPr>
        <w:t>《</w:t>
      </w:r>
      <w:r>
        <w:rPr>
          <w:rFonts w:ascii="Times New Roman" w:eastAsiaTheme="minorEastAsia"/>
          <w:sz w:val="24"/>
          <w:szCs w:val="24"/>
        </w:rPr>
        <w:t>重庆望变电气（集团）股份有限公司向特定对象发行股票募集资金使用的可行性分析报告</w:t>
      </w:r>
      <w:r>
        <w:rPr>
          <w:rFonts w:ascii="Times New Roman" w:eastAsiaTheme="minorEastAsia" w:hint="eastAsia"/>
          <w:sz w:val="24"/>
          <w:szCs w:val="24"/>
        </w:rPr>
        <w:t>》</w:t>
      </w:r>
      <w:r>
        <w:rPr>
          <w:rFonts w:ascii="Times New Roman" w:eastAsiaTheme="minorEastAsia"/>
          <w:sz w:val="24"/>
          <w:szCs w:val="24"/>
        </w:rPr>
        <w:t>，公司本次发行募集资金</w:t>
      </w:r>
      <w:r>
        <w:rPr>
          <w:rFonts w:eastAsiaTheme="majorEastAsia"/>
          <w:sz w:val="24"/>
          <w:szCs w:val="24"/>
        </w:rPr>
        <w:t>扣除发行费用后的募集资金净额将全部用于补充流动资金</w:t>
      </w:r>
      <w:r>
        <w:rPr>
          <w:rFonts w:ascii="Times New Roman" w:eastAsiaTheme="minorEastAsia"/>
          <w:sz w:val="24"/>
          <w:szCs w:val="24"/>
        </w:rPr>
        <w:t>，该等用途符合公司实际情况以及公司的长远发展目标和全体股东利益；</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4</w:t>
      </w:r>
      <w:r>
        <w:rPr>
          <w:rFonts w:ascii="Times New Roman" w:eastAsiaTheme="minorEastAsia" w:hint="eastAsia"/>
          <w:sz w:val="24"/>
          <w:szCs w:val="24"/>
        </w:rPr>
        <w:t>、</w:t>
      </w:r>
      <w:r>
        <w:rPr>
          <w:rFonts w:ascii="Times New Roman" w:eastAsiaTheme="minorEastAsia"/>
          <w:sz w:val="24"/>
          <w:szCs w:val="24"/>
        </w:rPr>
        <w:t>根据《发行注册管理办法》和《监管规则适用指引</w:t>
      </w:r>
      <w:r>
        <w:rPr>
          <w:rFonts w:ascii="Times New Roman" w:eastAsiaTheme="minorEastAsia"/>
          <w:sz w:val="24"/>
          <w:szCs w:val="24"/>
        </w:rPr>
        <w:t>—</w:t>
      </w:r>
      <w:r>
        <w:rPr>
          <w:rFonts w:ascii="Times New Roman" w:eastAsiaTheme="minorEastAsia"/>
          <w:sz w:val="24"/>
          <w:szCs w:val="24"/>
        </w:rPr>
        <w:t>发行类第</w:t>
      </w:r>
      <w:r>
        <w:rPr>
          <w:rFonts w:ascii="Times New Roman" w:eastAsiaTheme="minorEastAsia"/>
          <w:sz w:val="24"/>
          <w:szCs w:val="24"/>
        </w:rPr>
        <w:t>7</w:t>
      </w:r>
      <w:r>
        <w:rPr>
          <w:rFonts w:ascii="Times New Roman" w:eastAsiaTheme="minorEastAsia"/>
          <w:sz w:val="24"/>
          <w:szCs w:val="24"/>
        </w:rPr>
        <w:t>号》的相关规定，鉴于公司</w:t>
      </w:r>
      <w:r>
        <w:rPr>
          <w:rFonts w:ascii="Times New Roman" w:eastAsiaTheme="minorEastAsia" w:hint="eastAsia"/>
          <w:sz w:val="24"/>
          <w:szCs w:val="24"/>
        </w:rPr>
        <w:t>2025</w:t>
      </w:r>
      <w:r>
        <w:rPr>
          <w:rFonts w:ascii="Times New Roman" w:eastAsiaTheme="minorEastAsia" w:hint="eastAsia"/>
          <w:sz w:val="24"/>
          <w:szCs w:val="24"/>
        </w:rPr>
        <w:t>年年度财务报告尚在审计中，相关年度报告尚未定稿</w:t>
      </w:r>
      <w:r>
        <w:rPr>
          <w:rFonts w:ascii="Times New Roman" w:eastAsiaTheme="minorEastAsia"/>
          <w:sz w:val="24"/>
          <w:szCs w:val="24"/>
        </w:rPr>
        <w:t>，故公司无法在本次向特定对象发行股票预案披露时提供前次募集资金使用情况</w:t>
      </w:r>
      <w:r>
        <w:rPr>
          <w:rFonts w:ascii="Times New Roman" w:eastAsiaTheme="minorEastAsia"/>
          <w:sz w:val="24"/>
          <w:szCs w:val="24"/>
        </w:rPr>
        <w:lastRenderedPageBreak/>
        <w:t>报告。公司将在前次募集资金使用情况编制完成后</w:t>
      </w:r>
      <w:r>
        <w:rPr>
          <w:rFonts w:ascii="Times New Roman" w:eastAsiaTheme="minorEastAsia" w:hint="eastAsia"/>
          <w:sz w:val="24"/>
          <w:szCs w:val="24"/>
        </w:rPr>
        <w:t>再次</w:t>
      </w:r>
      <w:r>
        <w:rPr>
          <w:rFonts w:ascii="Times New Roman" w:eastAsiaTheme="minorEastAsia"/>
          <w:sz w:val="24"/>
          <w:szCs w:val="24"/>
        </w:rPr>
        <w:t>召开董事会和股东会审议相关议案并进行公告；</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5</w:t>
      </w:r>
      <w:r>
        <w:rPr>
          <w:rFonts w:ascii="Times New Roman" w:eastAsiaTheme="minorEastAsia" w:hint="eastAsia"/>
          <w:sz w:val="24"/>
          <w:szCs w:val="24"/>
        </w:rPr>
        <w:t>、</w:t>
      </w:r>
      <w:r>
        <w:rPr>
          <w:rFonts w:ascii="Times New Roman" w:eastAsiaTheme="minorEastAsia"/>
          <w:sz w:val="24"/>
          <w:szCs w:val="24"/>
        </w:rPr>
        <w:t>杨泽民先生或其控制的企业作为本次发行的认购对象，公司与杨泽民先生签署附条件生效的股份认购协议，杨泽民先生系公司控股股东</w:t>
      </w:r>
      <w:r w:rsidR="004E0E46">
        <w:rPr>
          <w:rFonts w:ascii="Times New Roman" w:eastAsiaTheme="minorEastAsia" w:hint="eastAsia"/>
          <w:sz w:val="24"/>
          <w:szCs w:val="24"/>
        </w:rPr>
        <w:t>、实际控制人</w:t>
      </w:r>
      <w:r>
        <w:rPr>
          <w:rFonts w:ascii="Times New Roman" w:eastAsiaTheme="minorEastAsia" w:hint="eastAsia"/>
          <w:sz w:val="24"/>
          <w:szCs w:val="24"/>
        </w:rPr>
        <w:t>之一</w:t>
      </w:r>
      <w:r>
        <w:rPr>
          <w:rFonts w:ascii="Times New Roman" w:eastAsiaTheme="minorEastAsia"/>
          <w:sz w:val="24"/>
          <w:szCs w:val="24"/>
        </w:rPr>
        <w:t>，本次发行构成关联交易</w:t>
      </w:r>
      <w:r>
        <w:rPr>
          <w:rFonts w:ascii="Times New Roman" w:eastAsiaTheme="minorEastAsia" w:hint="eastAsia"/>
          <w:sz w:val="24"/>
          <w:szCs w:val="24"/>
        </w:rPr>
        <w:t>。</w:t>
      </w:r>
      <w:r>
        <w:rPr>
          <w:rFonts w:ascii="Times New Roman" w:eastAsiaTheme="minorEastAsia"/>
          <w:sz w:val="24"/>
          <w:szCs w:val="24"/>
        </w:rPr>
        <w:t>我们认为上述关联交易定价方式公允、合理，符合公司和全体股东的利益，不存在侵害中小股东利益的行为和情况；</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6</w:t>
      </w:r>
      <w:r>
        <w:rPr>
          <w:rFonts w:ascii="Times New Roman" w:eastAsiaTheme="minorEastAsia" w:hint="eastAsia"/>
          <w:sz w:val="24"/>
          <w:szCs w:val="24"/>
        </w:rPr>
        <w:t>、</w:t>
      </w:r>
      <w:r>
        <w:rPr>
          <w:rFonts w:ascii="Times New Roman" w:eastAsiaTheme="minorEastAsia"/>
          <w:sz w:val="24"/>
          <w:szCs w:val="24"/>
        </w:rPr>
        <w:t>公司就本次发行对即期回报摊薄的影响进行了分析并提出了相应的填补回报措施，公司</w:t>
      </w:r>
      <w:r>
        <w:rPr>
          <w:rFonts w:ascii="Times New Roman" w:eastAsiaTheme="minorEastAsia" w:hint="eastAsia"/>
          <w:sz w:val="24"/>
          <w:szCs w:val="24"/>
        </w:rPr>
        <w:t>发行完成后</w:t>
      </w:r>
      <w:r>
        <w:rPr>
          <w:rFonts w:ascii="Times New Roman" w:eastAsiaTheme="minorEastAsia"/>
          <w:sz w:val="24"/>
          <w:szCs w:val="24"/>
        </w:rPr>
        <w:t>控股股东</w:t>
      </w:r>
      <w:r>
        <w:rPr>
          <w:rFonts w:ascii="Times New Roman" w:eastAsiaTheme="minorEastAsia" w:hint="eastAsia"/>
          <w:sz w:val="24"/>
          <w:szCs w:val="24"/>
        </w:rPr>
        <w:t>及实际控制人、</w:t>
      </w:r>
      <w:r>
        <w:rPr>
          <w:rFonts w:ascii="Times New Roman" w:eastAsiaTheme="minorEastAsia"/>
          <w:sz w:val="24"/>
          <w:szCs w:val="24"/>
        </w:rPr>
        <w:t>董事、高级管理人员均对此</w:t>
      </w:r>
      <w:proofErr w:type="gramStart"/>
      <w:r>
        <w:rPr>
          <w:rFonts w:ascii="Times New Roman" w:eastAsiaTheme="minorEastAsia"/>
          <w:sz w:val="24"/>
          <w:szCs w:val="24"/>
        </w:rPr>
        <w:t>作出</w:t>
      </w:r>
      <w:proofErr w:type="gramEnd"/>
      <w:r>
        <w:rPr>
          <w:rFonts w:ascii="Times New Roman" w:eastAsiaTheme="minorEastAsia"/>
          <w:sz w:val="24"/>
          <w:szCs w:val="24"/>
        </w:rPr>
        <w:t>了承诺。我们认为公司拟采取的填补措施及相关主体承诺可有效降低本次发行对公司即期收益的摊薄作用，可充分保护公司股东，特别是中小股东的利益</w:t>
      </w:r>
      <w:r>
        <w:rPr>
          <w:rFonts w:ascii="Times New Roman" w:eastAsiaTheme="minorEastAsia" w:hint="eastAsia"/>
          <w:sz w:val="24"/>
          <w:szCs w:val="24"/>
        </w:rPr>
        <w:t>；</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7</w:t>
      </w:r>
      <w:r>
        <w:rPr>
          <w:rFonts w:ascii="Times New Roman" w:eastAsiaTheme="minorEastAsia" w:hint="eastAsia"/>
          <w:sz w:val="24"/>
          <w:szCs w:val="24"/>
        </w:rPr>
        <w:t>、</w:t>
      </w:r>
      <w:r>
        <w:rPr>
          <w:rFonts w:ascii="Times New Roman" w:eastAsiaTheme="minorEastAsia"/>
          <w:sz w:val="24"/>
          <w:szCs w:val="24"/>
        </w:rPr>
        <w:t>为保证公司本次发行相关事宜的顺利进行，根据《公司法》《证券法》等相关法律、法规和《公司章程》的相关规定，公司董事会拟提请股东会授权董事会</w:t>
      </w:r>
      <w:r>
        <w:rPr>
          <w:rFonts w:ascii="Times New Roman" w:eastAsiaTheme="minorEastAsia" w:hint="eastAsia"/>
          <w:sz w:val="24"/>
          <w:szCs w:val="24"/>
        </w:rPr>
        <w:t>或其授权人士</w:t>
      </w:r>
      <w:r>
        <w:rPr>
          <w:rFonts w:ascii="Times New Roman" w:eastAsiaTheme="minorEastAsia"/>
          <w:sz w:val="24"/>
          <w:szCs w:val="24"/>
        </w:rPr>
        <w:t>在有关法律、行政法规及规范性文件规定的范围内，全权办理本次发行的相关事宜，前述授权符合有关相关规定，不存在损害公司及其股东尤其是中小股东利益的情形。</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8</w:t>
      </w:r>
      <w:r>
        <w:rPr>
          <w:rFonts w:ascii="Times New Roman" w:eastAsiaTheme="minorEastAsia" w:hint="eastAsia"/>
          <w:sz w:val="24"/>
          <w:szCs w:val="24"/>
        </w:rPr>
        <w:t>、</w:t>
      </w:r>
      <w:r>
        <w:rPr>
          <w:rFonts w:ascii="Times New Roman" w:eastAsiaTheme="minorEastAsia"/>
          <w:sz w:val="24"/>
          <w:szCs w:val="24"/>
        </w:rPr>
        <w:t>公司设立募集资金专项存储账户，符合《上市公司募集资金监管规则》《上海证券交易所上市公司自律监管指引第</w:t>
      </w:r>
      <w:r>
        <w:rPr>
          <w:rFonts w:ascii="Times New Roman" w:eastAsiaTheme="minorEastAsia"/>
          <w:sz w:val="24"/>
          <w:szCs w:val="24"/>
        </w:rPr>
        <w:t>1</w:t>
      </w:r>
      <w:r>
        <w:rPr>
          <w:rFonts w:ascii="Times New Roman" w:eastAsiaTheme="minorEastAsia"/>
          <w:sz w:val="24"/>
          <w:szCs w:val="24"/>
        </w:rPr>
        <w:t>号</w:t>
      </w:r>
      <w:r>
        <w:rPr>
          <w:rFonts w:ascii="Times New Roman" w:eastAsiaTheme="minorEastAsia"/>
          <w:sz w:val="24"/>
          <w:szCs w:val="24"/>
        </w:rPr>
        <w:t>——</w:t>
      </w:r>
      <w:r>
        <w:rPr>
          <w:rFonts w:ascii="Times New Roman" w:eastAsiaTheme="minorEastAsia"/>
          <w:sz w:val="24"/>
          <w:szCs w:val="24"/>
        </w:rPr>
        <w:t>规范运作》等相关法律、法规的相关规定，有利于保护投资者权益，提高募集资金使用效率。</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9</w:t>
      </w:r>
      <w:r>
        <w:rPr>
          <w:rFonts w:ascii="Times New Roman" w:eastAsiaTheme="minorEastAsia" w:hint="eastAsia"/>
          <w:sz w:val="24"/>
          <w:szCs w:val="24"/>
        </w:rPr>
        <w:t>、</w:t>
      </w:r>
      <w:r>
        <w:rPr>
          <w:rFonts w:ascii="Times New Roman" w:eastAsiaTheme="minorEastAsia"/>
          <w:sz w:val="24"/>
          <w:szCs w:val="24"/>
        </w:rPr>
        <w:t>公司编制的《重庆望变电气（集团）股份有限公司未来三年（</w:t>
      </w:r>
      <w:r>
        <w:rPr>
          <w:rFonts w:ascii="Times New Roman" w:eastAsiaTheme="minorEastAsia"/>
          <w:sz w:val="24"/>
          <w:szCs w:val="24"/>
        </w:rPr>
        <w:t>2026</w:t>
      </w:r>
      <w:r>
        <w:rPr>
          <w:rFonts w:ascii="Times New Roman" w:eastAsiaTheme="minorEastAsia" w:hint="eastAsia"/>
          <w:sz w:val="24"/>
          <w:szCs w:val="24"/>
        </w:rPr>
        <w:t>年</w:t>
      </w:r>
      <w:r>
        <w:rPr>
          <w:rFonts w:ascii="Times New Roman" w:eastAsiaTheme="minorEastAsia"/>
          <w:sz w:val="24"/>
          <w:szCs w:val="24"/>
        </w:rPr>
        <w:t>-2028</w:t>
      </w:r>
      <w:r>
        <w:rPr>
          <w:rFonts w:ascii="Times New Roman" w:eastAsiaTheme="minorEastAsia"/>
          <w:sz w:val="24"/>
          <w:szCs w:val="24"/>
        </w:rPr>
        <w:t>年）股东回报规划》符合现行法律、法规和规范性文件以及《公司章程》的相关规定，符合公司实际情况，有助于完善、健全和贯彻公司持续稳定的分红政策和监督机制，有助于切实维护股东特别是中小股东的合法权益；</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hint="eastAsia"/>
          <w:sz w:val="24"/>
          <w:szCs w:val="24"/>
        </w:rPr>
        <w:t>10</w:t>
      </w:r>
      <w:r>
        <w:rPr>
          <w:rFonts w:ascii="Times New Roman" w:eastAsiaTheme="minorEastAsia" w:hint="eastAsia"/>
          <w:sz w:val="24"/>
          <w:szCs w:val="24"/>
        </w:rPr>
        <w:t>、</w:t>
      </w:r>
      <w:r>
        <w:rPr>
          <w:rFonts w:ascii="Times New Roman" w:eastAsiaTheme="minorEastAsia"/>
          <w:sz w:val="24"/>
          <w:szCs w:val="24"/>
        </w:rPr>
        <w:t>鉴于杨泽民先生已承诺其或其控制的企业认购的本次发行的股份自本次发行</w:t>
      </w:r>
      <w:r>
        <w:rPr>
          <w:rFonts w:ascii="Times New Roman" w:eastAsiaTheme="minorEastAsia" w:hint="eastAsia"/>
          <w:sz w:val="24"/>
          <w:szCs w:val="24"/>
        </w:rPr>
        <w:t>结束</w:t>
      </w:r>
      <w:r>
        <w:rPr>
          <w:rFonts w:ascii="Times New Roman" w:eastAsiaTheme="minorEastAsia"/>
          <w:sz w:val="24"/>
          <w:szCs w:val="24"/>
        </w:rPr>
        <w:t>之日起</w:t>
      </w:r>
      <w:r>
        <w:rPr>
          <w:rFonts w:ascii="Times New Roman" w:eastAsiaTheme="minorEastAsia"/>
          <w:sz w:val="24"/>
          <w:szCs w:val="24"/>
        </w:rPr>
        <w:t>36</w:t>
      </w:r>
      <w:r>
        <w:rPr>
          <w:rFonts w:ascii="Times New Roman" w:eastAsiaTheme="minorEastAsia"/>
          <w:sz w:val="24"/>
          <w:szCs w:val="24"/>
        </w:rPr>
        <w:t>个月内不转让，根据《上市公司收购管理办法》的规定，取得公司股东会非关联股东批准后，</w:t>
      </w:r>
      <w:r>
        <w:rPr>
          <w:rFonts w:ascii="Times New Roman" w:eastAsiaTheme="minorEastAsia" w:hint="eastAsia"/>
          <w:sz w:val="24"/>
          <w:szCs w:val="24"/>
        </w:rPr>
        <w:t>认购对象</w:t>
      </w:r>
      <w:r>
        <w:rPr>
          <w:rFonts w:ascii="Times New Roman" w:eastAsiaTheme="minorEastAsia"/>
          <w:sz w:val="24"/>
          <w:szCs w:val="24"/>
        </w:rPr>
        <w:t>及其一致行动人可以免于发出要约。前述事项符合有关法律、法规、规范性文件及《公司章程》的规定，不存在损害公司及其股东尤其是中小股东利益的情形。</w:t>
      </w: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Theme="minorEastAsia"/>
          <w:sz w:val="24"/>
          <w:szCs w:val="24"/>
        </w:rPr>
        <w:t>综上所述，公司本次发行相关文件的编制和审议程序符合现行法律、法规以及《公司章程》和公司内部管理制度的各项规定，不存在损害公司及其股东尤其</w:t>
      </w:r>
      <w:r>
        <w:rPr>
          <w:rFonts w:ascii="Times New Roman" w:eastAsiaTheme="minorEastAsia"/>
          <w:sz w:val="24"/>
          <w:szCs w:val="24"/>
        </w:rPr>
        <w:lastRenderedPageBreak/>
        <w:t>是中小股东利益的情形。本次发行事项尚需经过公司股东会审议通过，并经</w:t>
      </w:r>
      <w:r>
        <w:rPr>
          <w:rFonts w:ascii="Times New Roman" w:eastAsiaTheme="minorEastAsia" w:hint="eastAsia"/>
          <w:sz w:val="24"/>
          <w:szCs w:val="24"/>
        </w:rPr>
        <w:t>上海</w:t>
      </w:r>
      <w:r>
        <w:rPr>
          <w:rFonts w:ascii="Times New Roman" w:eastAsiaTheme="minorEastAsia"/>
          <w:sz w:val="24"/>
          <w:szCs w:val="24"/>
        </w:rPr>
        <w:t>证券交易所审核通过以及中国证</w:t>
      </w:r>
      <w:r>
        <w:rPr>
          <w:rFonts w:ascii="Times New Roman" w:eastAsiaTheme="minorEastAsia" w:hint="eastAsia"/>
          <w:sz w:val="24"/>
          <w:szCs w:val="24"/>
        </w:rPr>
        <w:t>券</w:t>
      </w:r>
      <w:r>
        <w:rPr>
          <w:rFonts w:ascii="Times New Roman" w:eastAsiaTheme="minorEastAsia"/>
          <w:sz w:val="24"/>
          <w:szCs w:val="24"/>
        </w:rPr>
        <w:t>监</w:t>
      </w:r>
      <w:r>
        <w:rPr>
          <w:rFonts w:ascii="Times New Roman" w:eastAsiaTheme="minorEastAsia" w:hint="eastAsia"/>
          <w:sz w:val="24"/>
          <w:szCs w:val="24"/>
        </w:rPr>
        <w:t>督管理委员</w:t>
      </w:r>
      <w:r>
        <w:rPr>
          <w:rFonts w:ascii="Times New Roman" w:eastAsiaTheme="minorEastAsia"/>
          <w:sz w:val="24"/>
          <w:szCs w:val="24"/>
        </w:rPr>
        <w:t>会同意注册后方可实</w:t>
      </w:r>
      <w:r>
        <w:rPr>
          <w:rFonts w:eastAsiaTheme="minorEastAsia"/>
          <w:sz w:val="24"/>
          <w:szCs w:val="24"/>
        </w:rPr>
        <w:t>施。</w:t>
      </w:r>
      <w:r>
        <w:rPr>
          <w:rFonts w:ascii="Times New Roman" w:eastAsiaTheme="minorEastAsia" w:hint="eastAsia"/>
          <w:sz w:val="24"/>
          <w:szCs w:val="24"/>
        </w:rPr>
        <w:t>我们同意本次向特定对象发行股票涉及的关联交易事项，并同意将上述事项提交公司第四届董事会第十七次会议审议。</w:t>
      </w:r>
    </w:p>
    <w:p w:rsidR="00C639A3" w:rsidRDefault="00C639A3">
      <w:pPr>
        <w:pStyle w:val="a3"/>
        <w:tabs>
          <w:tab w:val="left" w:pos="1134"/>
        </w:tabs>
        <w:ind w:firstLineChars="200" w:firstLine="480"/>
        <w:jc w:val="both"/>
        <w:rPr>
          <w:rFonts w:ascii="Times New Roman" w:eastAsiaTheme="minorEastAsia"/>
          <w:sz w:val="24"/>
          <w:szCs w:val="24"/>
        </w:rPr>
      </w:pPr>
    </w:p>
    <w:p w:rsidR="00C639A3" w:rsidRDefault="00000000">
      <w:pPr>
        <w:pStyle w:val="a3"/>
        <w:tabs>
          <w:tab w:val="left" w:pos="1134"/>
        </w:tabs>
        <w:ind w:firstLineChars="200" w:firstLine="480"/>
        <w:jc w:val="both"/>
        <w:rPr>
          <w:rFonts w:ascii="Times New Roman" w:eastAsiaTheme="minorEastAsia"/>
          <w:sz w:val="24"/>
          <w:szCs w:val="24"/>
        </w:rPr>
      </w:pPr>
      <w:r>
        <w:rPr>
          <w:rFonts w:ascii="Times New Roman" w:eastAsia="宋体" w:hint="eastAsia"/>
          <w:sz w:val="24"/>
        </w:rPr>
        <w:t>特此决议。</w:t>
      </w:r>
    </w:p>
    <w:p w:rsidR="00C639A3" w:rsidRDefault="00C639A3">
      <w:pPr>
        <w:spacing w:line="360" w:lineRule="auto"/>
        <w:ind w:firstLineChars="200" w:firstLine="480"/>
        <w:rPr>
          <w:kern w:val="0"/>
          <w:sz w:val="24"/>
          <w:szCs w:val="24"/>
          <w:lang w:bidi="en-US"/>
        </w:rPr>
      </w:pPr>
    </w:p>
    <w:p w:rsidR="00C639A3" w:rsidRDefault="00C639A3">
      <w:pPr>
        <w:spacing w:line="360" w:lineRule="auto"/>
        <w:ind w:firstLineChars="200" w:firstLine="480"/>
        <w:rPr>
          <w:kern w:val="0"/>
          <w:sz w:val="24"/>
          <w:szCs w:val="24"/>
          <w:lang w:bidi="en-US"/>
        </w:rPr>
      </w:pPr>
    </w:p>
    <w:p w:rsidR="00C639A3" w:rsidRDefault="00000000">
      <w:pPr>
        <w:tabs>
          <w:tab w:val="left" w:pos="3021"/>
        </w:tabs>
        <w:spacing w:line="360" w:lineRule="auto"/>
        <w:ind w:firstLineChars="200" w:firstLine="482"/>
        <w:jc w:val="right"/>
        <w:rPr>
          <w:b/>
          <w:bCs/>
          <w:sz w:val="24"/>
          <w:szCs w:val="24"/>
        </w:rPr>
      </w:pPr>
      <w:proofErr w:type="gramStart"/>
      <w:r>
        <w:rPr>
          <w:rFonts w:hint="eastAsia"/>
          <w:b/>
          <w:bCs/>
          <w:sz w:val="24"/>
          <w:szCs w:val="24"/>
        </w:rPr>
        <w:t>重庆望变电气</w:t>
      </w:r>
      <w:proofErr w:type="gramEnd"/>
      <w:r>
        <w:rPr>
          <w:rFonts w:hint="eastAsia"/>
          <w:b/>
          <w:bCs/>
          <w:sz w:val="24"/>
          <w:szCs w:val="24"/>
        </w:rPr>
        <w:t>（集团）股份有限公司</w:t>
      </w:r>
    </w:p>
    <w:p w:rsidR="00C639A3" w:rsidRDefault="00000000">
      <w:pPr>
        <w:tabs>
          <w:tab w:val="left" w:pos="3021"/>
        </w:tabs>
        <w:spacing w:line="360" w:lineRule="auto"/>
        <w:ind w:firstLineChars="200" w:firstLine="482"/>
        <w:jc w:val="right"/>
        <w:rPr>
          <w:b/>
          <w:bCs/>
          <w:sz w:val="24"/>
          <w:szCs w:val="24"/>
        </w:rPr>
      </w:pPr>
      <w:r>
        <w:rPr>
          <w:rFonts w:hint="eastAsia"/>
          <w:b/>
          <w:bCs/>
          <w:sz w:val="24"/>
          <w:szCs w:val="24"/>
        </w:rPr>
        <w:t>董事会审计委员会</w:t>
      </w:r>
    </w:p>
    <w:p w:rsidR="00C639A3" w:rsidRDefault="00000000">
      <w:pPr>
        <w:tabs>
          <w:tab w:val="left" w:pos="3021"/>
        </w:tabs>
        <w:spacing w:line="360" w:lineRule="auto"/>
        <w:ind w:firstLineChars="200" w:firstLine="482"/>
        <w:jc w:val="right"/>
        <w:rPr>
          <w:b/>
          <w:bCs/>
          <w:sz w:val="24"/>
          <w:szCs w:val="24"/>
        </w:rPr>
      </w:pPr>
      <w:r>
        <w:rPr>
          <w:rFonts w:hint="eastAsia"/>
          <w:b/>
          <w:bCs/>
          <w:sz w:val="24"/>
          <w:szCs w:val="24"/>
        </w:rPr>
        <w:t xml:space="preserve">                                            2</w:t>
      </w:r>
      <w:r>
        <w:rPr>
          <w:b/>
          <w:bCs/>
          <w:sz w:val="24"/>
          <w:szCs w:val="24"/>
        </w:rPr>
        <w:t>02</w:t>
      </w:r>
      <w:r>
        <w:rPr>
          <w:rFonts w:hint="eastAsia"/>
          <w:b/>
          <w:bCs/>
          <w:sz w:val="24"/>
          <w:szCs w:val="24"/>
        </w:rPr>
        <w:t>6</w:t>
      </w:r>
      <w:r>
        <w:rPr>
          <w:rFonts w:hint="eastAsia"/>
          <w:b/>
          <w:bCs/>
          <w:sz w:val="24"/>
          <w:szCs w:val="24"/>
        </w:rPr>
        <w:t>年</w:t>
      </w:r>
      <w:r>
        <w:rPr>
          <w:rFonts w:hint="eastAsia"/>
          <w:b/>
          <w:bCs/>
          <w:sz w:val="24"/>
          <w:szCs w:val="24"/>
        </w:rPr>
        <w:t>2</w:t>
      </w:r>
      <w:r>
        <w:rPr>
          <w:rFonts w:hint="eastAsia"/>
          <w:b/>
          <w:bCs/>
          <w:sz w:val="24"/>
          <w:szCs w:val="24"/>
        </w:rPr>
        <w:t>月</w:t>
      </w:r>
      <w:r>
        <w:rPr>
          <w:rFonts w:hint="eastAsia"/>
          <w:b/>
          <w:bCs/>
          <w:sz w:val="24"/>
          <w:szCs w:val="24"/>
        </w:rPr>
        <w:t>6</w:t>
      </w:r>
      <w:r>
        <w:rPr>
          <w:rFonts w:hint="eastAsia"/>
          <w:b/>
          <w:bCs/>
          <w:sz w:val="24"/>
          <w:szCs w:val="24"/>
        </w:rPr>
        <w:t>日</w:t>
      </w:r>
    </w:p>
    <w:p w:rsidR="00C639A3" w:rsidRDefault="00000000">
      <w:pPr>
        <w:pStyle w:val="a3"/>
        <w:tabs>
          <w:tab w:val="left" w:pos="1134"/>
        </w:tabs>
        <w:ind w:firstLineChars="200" w:firstLine="480"/>
        <w:jc w:val="right"/>
        <w:rPr>
          <w:rFonts w:ascii="Times New Roman" w:eastAsia="宋体"/>
          <w:kern w:val="2"/>
          <w:sz w:val="21"/>
        </w:rPr>
      </w:pPr>
      <w:r>
        <w:rPr>
          <w:rFonts w:ascii="Times New Roman" w:eastAsiaTheme="minorEastAsia" w:hint="eastAsia"/>
          <w:sz w:val="24"/>
          <w:szCs w:val="24"/>
        </w:rPr>
        <w:t xml:space="preserve">                                  </w:t>
      </w:r>
    </w:p>
    <w:p w:rsidR="00C639A3" w:rsidRDefault="00C639A3"/>
    <w:sectPr w:rsidR="00C639A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546" w:rsidRDefault="00385546">
      <w:r>
        <w:separator/>
      </w:r>
    </w:p>
  </w:endnote>
  <w:endnote w:type="continuationSeparator" w:id="0">
    <w:p w:rsidR="00385546" w:rsidRDefault="0038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E0000AFF" w:usb1="00007843" w:usb2="00000001" w:usb3="00000000" w:csb0="400001BF" w:csb1="DFF7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9A3" w:rsidRDefault="00000000">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639A3" w:rsidRDefault="00000000">
                          <w:pPr>
                            <w:pStyle w:val="a7"/>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C639A3" w:rsidRDefault="00000000">
                    <w:pPr>
                      <w:pStyle w:val="a7"/>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546" w:rsidRDefault="00385546">
      <w:r>
        <w:separator/>
      </w:r>
    </w:p>
  </w:footnote>
  <w:footnote w:type="continuationSeparator" w:id="0">
    <w:p w:rsidR="00385546" w:rsidRDefault="003855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DFE"/>
    <w:rsid w:val="00001F34"/>
    <w:rsid w:val="000D064C"/>
    <w:rsid w:val="000F306A"/>
    <w:rsid w:val="000F4AFB"/>
    <w:rsid w:val="00120198"/>
    <w:rsid w:val="00123943"/>
    <w:rsid w:val="0012459C"/>
    <w:rsid w:val="001735B3"/>
    <w:rsid w:val="00197044"/>
    <w:rsid w:val="001E77DA"/>
    <w:rsid w:val="002070A6"/>
    <w:rsid w:val="00224785"/>
    <w:rsid w:val="002358AE"/>
    <w:rsid w:val="00256926"/>
    <w:rsid w:val="003302F6"/>
    <w:rsid w:val="003606C1"/>
    <w:rsid w:val="00384DFE"/>
    <w:rsid w:val="00385546"/>
    <w:rsid w:val="00395CBF"/>
    <w:rsid w:val="003C6FD1"/>
    <w:rsid w:val="003E20E4"/>
    <w:rsid w:val="003E56A4"/>
    <w:rsid w:val="00407136"/>
    <w:rsid w:val="004220F5"/>
    <w:rsid w:val="004267A3"/>
    <w:rsid w:val="00430A81"/>
    <w:rsid w:val="00455587"/>
    <w:rsid w:val="0047045C"/>
    <w:rsid w:val="004C0363"/>
    <w:rsid w:val="004D0924"/>
    <w:rsid w:val="004E0E46"/>
    <w:rsid w:val="004F7D5B"/>
    <w:rsid w:val="005251CD"/>
    <w:rsid w:val="00527C26"/>
    <w:rsid w:val="005707F7"/>
    <w:rsid w:val="005D2910"/>
    <w:rsid w:val="005F11F4"/>
    <w:rsid w:val="006656E1"/>
    <w:rsid w:val="00693FD1"/>
    <w:rsid w:val="00697510"/>
    <w:rsid w:val="006A03DD"/>
    <w:rsid w:val="006B3DA4"/>
    <w:rsid w:val="006E4D88"/>
    <w:rsid w:val="00721088"/>
    <w:rsid w:val="00733BB6"/>
    <w:rsid w:val="00761357"/>
    <w:rsid w:val="007F0D83"/>
    <w:rsid w:val="00833361"/>
    <w:rsid w:val="0085634B"/>
    <w:rsid w:val="008C15F5"/>
    <w:rsid w:val="008D4FD8"/>
    <w:rsid w:val="008E45F4"/>
    <w:rsid w:val="008E765D"/>
    <w:rsid w:val="00903934"/>
    <w:rsid w:val="00920F8A"/>
    <w:rsid w:val="009333D2"/>
    <w:rsid w:val="00957B23"/>
    <w:rsid w:val="0096547E"/>
    <w:rsid w:val="00982428"/>
    <w:rsid w:val="0098746A"/>
    <w:rsid w:val="009948B0"/>
    <w:rsid w:val="009952C1"/>
    <w:rsid w:val="009C7472"/>
    <w:rsid w:val="00A07C7E"/>
    <w:rsid w:val="00A07DB3"/>
    <w:rsid w:val="00A30A5F"/>
    <w:rsid w:val="00A9597E"/>
    <w:rsid w:val="00AA309E"/>
    <w:rsid w:val="00AA3383"/>
    <w:rsid w:val="00AC0CB4"/>
    <w:rsid w:val="00AC10D0"/>
    <w:rsid w:val="00AF42C3"/>
    <w:rsid w:val="00B6386A"/>
    <w:rsid w:val="00B9540D"/>
    <w:rsid w:val="00BA1525"/>
    <w:rsid w:val="00BB7FB6"/>
    <w:rsid w:val="00C03166"/>
    <w:rsid w:val="00C639A3"/>
    <w:rsid w:val="00C92305"/>
    <w:rsid w:val="00CA523E"/>
    <w:rsid w:val="00CA549E"/>
    <w:rsid w:val="00CC36EC"/>
    <w:rsid w:val="00CE13F2"/>
    <w:rsid w:val="00CE5DF7"/>
    <w:rsid w:val="00D03B22"/>
    <w:rsid w:val="00D16968"/>
    <w:rsid w:val="00D25260"/>
    <w:rsid w:val="00D31B59"/>
    <w:rsid w:val="00D340C4"/>
    <w:rsid w:val="00D4111F"/>
    <w:rsid w:val="00D52970"/>
    <w:rsid w:val="00D64C75"/>
    <w:rsid w:val="00D812C3"/>
    <w:rsid w:val="00D94A8B"/>
    <w:rsid w:val="00DE4F6C"/>
    <w:rsid w:val="00DE53EE"/>
    <w:rsid w:val="00DF09BF"/>
    <w:rsid w:val="00ED6335"/>
    <w:rsid w:val="00EF4E58"/>
    <w:rsid w:val="00F04414"/>
    <w:rsid w:val="00F42ABC"/>
    <w:rsid w:val="00F73768"/>
    <w:rsid w:val="00F74603"/>
    <w:rsid w:val="00FF0546"/>
    <w:rsid w:val="474115F9"/>
    <w:rsid w:val="7977922A"/>
    <w:rsid w:val="7BECDF36"/>
    <w:rsid w:val="F5DD3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FC6BF"/>
  <w15:docId w15:val="{82D67014-F245-4D95-8336-ABD2ED9A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adjustRightInd w:val="0"/>
      <w:spacing w:line="360" w:lineRule="auto"/>
      <w:jc w:val="center"/>
      <w:textAlignment w:val="baseline"/>
    </w:pPr>
    <w:rPr>
      <w:rFonts w:ascii="隶书" w:eastAsia="隶书"/>
      <w:kern w:val="0"/>
      <w:sz w:val="44"/>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rPr>
      <w:sz w:val="18"/>
      <w:szCs w:val="18"/>
    </w:rPr>
  </w:style>
  <w:style w:type="character" w:customStyle="1" w:styleId="a4">
    <w:name w:val="正文文本 字符"/>
    <w:basedOn w:val="a0"/>
    <w:link w:val="a3"/>
    <w:qFormat/>
    <w:rPr>
      <w:rFonts w:ascii="隶书" w:eastAsia="隶书" w:hAnsi="Times New Roman" w:cs="Times New Roman"/>
      <w:kern w:val="0"/>
      <w:sz w:val="44"/>
      <w:szCs w:val="20"/>
    </w:rPr>
  </w:style>
  <w:style w:type="paragraph" w:customStyle="1" w:styleId="Default">
    <w:name w:val="Default"/>
    <w:pPr>
      <w:widowControl w:val="0"/>
      <w:autoSpaceDE w:val="0"/>
      <w:autoSpaceDN w:val="0"/>
      <w:adjustRightInd w:val="0"/>
    </w:pPr>
    <w:rPr>
      <w:rFonts w:ascii="宋体" w:eastAsia="宋体" w:cs="宋体"/>
      <w:color w:val="000000"/>
      <w:sz w:val="24"/>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 w:type="paragraph" w:customStyle="1" w:styleId="1">
    <w:name w:val="修订1"/>
    <w:hidden/>
    <w:uiPriority w:val="99"/>
    <w:unhideWhenUsed/>
    <w:rPr>
      <w:rFonts w:ascii="Times New Roman" w:eastAsia="宋体" w:hAnsi="Times New Roman" w:cs="Times New Roman"/>
      <w:kern w:val="2"/>
      <w:sz w:val="21"/>
    </w:rPr>
  </w:style>
  <w:style w:type="paragraph" w:customStyle="1" w:styleId="2">
    <w:name w:val="修订2"/>
    <w:hidden/>
    <w:uiPriority w:val="99"/>
    <w:unhideWhenUsed/>
    <w:qFormat/>
    <w:rPr>
      <w:rFonts w:ascii="Times New Roman" w:eastAsia="宋体" w:hAnsi="Times New Roman" w:cs="Times New Roman"/>
      <w:kern w:val="2"/>
      <w:sz w:val="21"/>
    </w:rPr>
  </w:style>
  <w:style w:type="paragraph" w:styleId="ab">
    <w:name w:val="Revision"/>
    <w:hidden/>
    <w:uiPriority w:val="99"/>
    <w:unhideWhenUsed/>
    <w:rsid w:val="004E0E46"/>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975</Words>
  <Characters>986</Characters>
  <Application>Microsoft Office Word</Application>
  <DocSecurity>0</DocSecurity>
  <Lines>36</Lines>
  <Paragraphs>18</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柴丽英</dc:creator>
  <cp:lastModifiedBy>成浩 杨</cp:lastModifiedBy>
  <cp:revision>34</cp:revision>
  <cp:lastPrinted>2025-02-15T05:24:00Z</cp:lastPrinted>
  <dcterms:created xsi:type="dcterms:W3CDTF">2025-02-15T05:18:00Z</dcterms:created>
  <dcterms:modified xsi:type="dcterms:W3CDTF">2026-02-06T09:26:00Z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03AB8B847B26D8ADDAFC7A694AAF37D9_42</vt:lpwstr>
  </property>
  <property fmtid="{D5CDD505-2E9C-101B-9397-08002B2CF9AE}" pid="4" name="KSOTemplateDocerSaveRecord">
    <vt:lpwstr>eyJoZGlkIjoiZTQzZmRmZDMxMjkwMDE2NTk0ZWQ1ZWYwMzRmYjVhNmUiLCJ1c2VySWQiOiI2NDQwNzQxNTQifQ==</vt:lpwstr>
  </property>
</Properties>
</file>